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A42" w:rsidRPr="0043185D" w:rsidRDefault="00E75A42" w:rsidP="00E75A42">
      <w:pPr>
        <w:spacing w:after="120" w:line="240" w:lineRule="auto"/>
        <w:outlineLvl w:val="0"/>
        <w:rPr>
          <w:rFonts w:ascii="Segoe UI" w:eastAsia="Times New Roman" w:hAnsi="Segoe UI" w:cs="Segoe UI"/>
          <w:kern w:val="36"/>
          <w:sz w:val="40"/>
          <w:szCs w:val="48"/>
          <w:lang w:eastAsia="cs-CZ"/>
        </w:rPr>
      </w:pPr>
      <w:r w:rsidRPr="0043185D">
        <w:rPr>
          <w:rFonts w:ascii="Segoe UI" w:eastAsia="Times New Roman" w:hAnsi="Segoe UI" w:cs="Segoe UI"/>
          <w:kern w:val="36"/>
          <w:sz w:val="40"/>
          <w:szCs w:val="48"/>
          <w:lang w:eastAsia="cs-CZ"/>
        </w:rPr>
        <w:t>Obecné požadavky Evropského potravinového práva</w:t>
      </w:r>
    </w:p>
    <w:p w:rsidR="00E75A42" w:rsidRPr="00E75A42" w:rsidRDefault="00E75A42" w:rsidP="00E75A42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Obsahuje</w:t>
      </w:r>
    </w:p>
    <w:p w:rsidR="00E75A42" w:rsidRPr="00E75A42" w:rsidRDefault="00E75A42" w:rsidP="00E75A42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Nařízení EP a Rady č.178/2002</w:t>
      </w:r>
    </w:p>
    <w:p w:rsidR="00E75A42" w:rsidRPr="00E75A42" w:rsidRDefault="004C635B" w:rsidP="00E75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noshade="t" o:hr="t" fillcolor="#d4d4d4" stroked="f"/>
        </w:pict>
      </w:r>
    </w:p>
    <w:p w:rsidR="00E75A42" w:rsidRPr="00E75A42" w:rsidRDefault="00E75A42" w:rsidP="0043185D">
      <w:pPr>
        <w:spacing w:after="0" w:line="240" w:lineRule="auto"/>
        <w:outlineLvl w:val="1"/>
        <w:rPr>
          <w:rFonts w:ascii="Segoe UI" w:eastAsia="Times New Roman" w:hAnsi="Segoe UI" w:cs="Segoe UI"/>
          <w:sz w:val="36"/>
          <w:szCs w:val="36"/>
          <w:lang w:eastAsia="cs-CZ"/>
        </w:rPr>
      </w:pPr>
      <w:r w:rsidRPr="00E75A42">
        <w:rPr>
          <w:rFonts w:ascii="Segoe UI" w:eastAsia="Times New Roman" w:hAnsi="Segoe UI" w:cs="Segoe UI"/>
          <w:sz w:val="36"/>
          <w:szCs w:val="36"/>
          <w:lang w:eastAsia="cs-CZ"/>
        </w:rPr>
        <w:t>Nařízení EP a Rady č.178/2002</w:t>
      </w:r>
    </w:p>
    <w:p w:rsidR="00E75A42" w:rsidRPr="00E75A42" w:rsidRDefault="00E75A42" w:rsidP="00E75A42">
      <w:pPr>
        <w:spacing w:before="100" w:beforeAutospacing="1"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kterým se stanoví obecné zásady a požadavky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potravinového práva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, zřizuje se Evropský úřad pro bezpečnost potravin (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EFSA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) a stanoví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postupy týkající se bezpečnosti potravin</w:t>
      </w:r>
    </w:p>
    <w:p w:rsidR="00E75A42" w:rsidRPr="00E75A42" w:rsidRDefault="004C635B" w:rsidP="0043185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hyperlink r:id="rId7" w:tooltip="https://eur-lex.europa.eu/legal-content/CS/TXT/PDF/?uri=CELEX:32002R0178&amp;qid=1534441126565&amp;from=CS" w:history="1">
        <w:r w:rsidR="00E75A42" w:rsidRPr="00E75A42">
          <w:rPr>
            <w:rFonts w:ascii="Segoe UI" w:eastAsia="Times New Roman" w:hAnsi="Segoe UI" w:cs="Segoe UI"/>
            <w:sz w:val="21"/>
            <w:szCs w:val="21"/>
            <w:u w:val="single"/>
            <w:lang w:eastAsia="cs-CZ"/>
          </w:rPr>
          <w:t>ke stažení</w:t>
        </w:r>
      </w:hyperlink>
    </w:p>
    <w:p w:rsidR="00E75A42" w:rsidRPr="00E75A42" w:rsidRDefault="004C635B" w:rsidP="00E75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noshade="t" o:hr="t" fillcolor="#d4d4d4" stroked="f"/>
        </w:pict>
      </w:r>
    </w:p>
    <w:p w:rsidR="00E75A42" w:rsidRPr="00E75A42" w:rsidRDefault="00E75A42" w:rsidP="0043185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b/>
          <w:bCs/>
          <w:sz w:val="21"/>
          <w:szCs w:val="21"/>
          <w:u w:val="single"/>
          <w:lang w:eastAsia="cs-CZ"/>
        </w:rPr>
        <w:t>Účel a oblast působnosti (čl. 1):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br/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Toto nařízení:</w:t>
      </w:r>
    </w:p>
    <w:p w:rsidR="00E75A42" w:rsidRPr="00E75A42" w:rsidRDefault="00E75A42" w:rsidP="0043185D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má za cíl zajistit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vysokou úroveň ochrany lidského zdraví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a zájmů spotřebitelů, pokud jde o potraviny, a současně zajišťovat účinné fungování vnitřního trhu EU</w:t>
      </w:r>
    </w:p>
    <w:p w:rsidR="00E75A42" w:rsidRPr="00E75A42" w:rsidRDefault="00E75A42" w:rsidP="00E75A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stanovuje obecné zásady pro potraviny a krmiva, zejména jejich pro bezpečnost</w:t>
      </w:r>
    </w:p>
    <w:p w:rsidR="00E75A42" w:rsidRPr="00E75A42" w:rsidRDefault="00E75A42" w:rsidP="00E75A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zřizuje Evropský úřad pro bezpečnost potravin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(EFSA)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– viz dále</w:t>
      </w:r>
    </w:p>
    <w:p w:rsidR="00E75A42" w:rsidRPr="00E75A42" w:rsidRDefault="00E75A42" w:rsidP="00E75A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se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vztahuje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na všechny fáze výroby, zpracování a distribuce potravin a krmiv</w:t>
      </w:r>
    </w:p>
    <w:p w:rsidR="00E75A42" w:rsidRPr="00E75A42" w:rsidRDefault="00E75A42" w:rsidP="00E75A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se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nevztahuje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na</w:t>
      </w:r>
    </w:p>
    <w:p w:rsidR="00E75A42" w:rsidRPr="00E75A42" w:rsidRDefault="00E75A42" w:rsidP="00E75A4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u w:val="single"/>
          <w:lang w:eastAsia="cs-CZ"/>
        </w:rPr>
        <w:t>prvovýrobu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určenou pro osobní potřebu</w:t>
      </w:r>
    </w:p>
    <w:p w:rsidR="00E75A42" w:rsidRPr="00E75A42" w:rsidRDefault="00E75A42" w:rsidP="00E75A4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na domácí </w:t>
      </w:r>
      <w:r w:rsidRPr="00E75A42">
        <w:rPr>
          <w:rFonts w:ascii="Segoe UI" w:eastAsia="Times New Roman" w:hAnsi="Segoe UI" w:cs="Segoe UI"/>
          <w:sz w:val="21"/>
          <w:szCs w:val="21"/>
          <w:u w:val="single"/>
          <w:lang w:eastAsia="cs-CZ"/>
        </w:rPr>
        <w:t>přípravu potravin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, manipulaci s nimi nebo jejich skladování za účelem osobní domácí spotřeby</w:t>
      </w:r>
    </w:p>
    <w:p w:rsidR="00E75A42" w:rsidRPr="00E75A42" w:rsidRDefault="00E75A42" w:rsidP="0043185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b/>
          <w:bCs/>
          <w:sz w:val="21"/>
          <w:szCs w:val="21"/>
          <w:u w:val="single"/>
          <w:lang w:eastAsia="cs-CZ"/>
        </w:rPr>
        <w:t>Definice (čl. 2, 3):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br/>
        <w:t>Pro účely nařízení se rozumí:</w:t>
      </w:r>
    </w:p>
    <w:p w:rsidR="00E75A42" w:rsidRPr="00E75A42" w:rsidRDefault="00E75A42" w:rsidP="0043185D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potravinou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látka nebo výrobek, zpracované/nezpracované, které jsou určené ke konzumaci člověkem/lze předpokládat, že je člověk bude konzumovat</w:t>
      </w:r>
    </w:p>
    <w:p w:rsidR="00E75A42" w:rsidRPr="0043185D" w:rsidRDefault="00E75A42" w:rsidP="0043185D">
      <w:pPr>
        <w:spacing w:after="0" w:line="240" w:lineRule="auto"/>
        <w:ind w:left="795"/>
        <w:rPr>
          <w:rFonts w:ascii="Segoe UI" w:eastAsia="Times New Roman" w:hAnsi="Segoe UI" w:cs="Segoe UI"/>
          <w:i/>
          <w:color w:val="808080" w:themeColor="background1" w:themeShade="80"/>
          <w:sz w:val="21"/>
          <w:szCs w:val="21"/>
          <w:lang w:eastAsia="cs-CZ"/>
        </w:rPr>
      </w:pPr>
      <w:r w:rsidRPr="0043185D">
        <w:rPr>
          <w:rFonts w:ascii="Segoe UI" w:eastAsia="Times New Roman" w:hAnsi="Segoe UI" w:cs="Segoe UI"/>
          <w:i/>
          <w:color w:val="808080" w:themeColor="background1" w:themeShade="80"/>
          <w:sz w:val="21"/>
          <w:szCs w:val="21"/>
          <w:lang w:eastAsia="cs-CZ"/>
        </w:rPr>
        <w:t>(za potraviny se nepovažují krmiva, rostliny před sklizní, léčivé přípravky, kosmetické přípravky atd.)</w:t>
      </w:r>
    </w:p>
    <w:p w:rsidR="00E75A42" w:rsidRPr="00E75A42" w:rsidRDefault="00E75A42" w:rsidP="0043185D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krmivem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látka nebo výrobek, včetně doplňkových látek, určené ke krmení zvířat orální cestou</w:t>
      </w:r>
    </w:p>
    <w:p w:rsidR="00E75A42" w:rsidRPr="00E75A42" w:rsidRDefault="00E75A42" w:rsidP="00E75A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potravinovým právem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předpisy použitelné ve Společenství a vnitrostátně pro bezpečnost potravin</w:t>
      </w:r>
    </w:p>
    <w:p w:rsidR="00E75A42" w:rsidRPr="00E75A42" w:rsidRDefault="00E75A42" w:rsidP="00E75A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maloobchodem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manipulace s potravinami, nebo jejich zpracování a skladování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v místě prodeje</w:t>
      </w:r>
      <w:r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, 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nebo dodávky konečnému spotřebiteli</w:t>
      </w:r>
    </w:p>
    <w:p w:rsidR="00E75A42" w:rsidRPr="00E75A42" w:rsidRDefault="00E75A42" w:rsidP="00E75A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sledovatelností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možnost najít a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vysledovat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ve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všech fázích výroby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, zpracování a distribuce potravinu, krmivo, hospodářské zvíře nebo látku, která je určena k přimísení do potraviny nebo krmiva</w:t>
      </w:r>
    </w:p>
    <w:p w:rsidR="00E75A42" w:rsidRPr="00E75A42" w:rsidRDefault="00E75A42" w:rsidP="00E75A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uváděním na trh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držení potravin nebo krmiv za účelem prodeje, nabízení k prodeji či jiné formy převodu,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zdarma nebo za úplatu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, jakožto i prodej, distribuce a další formy převodu</w:t>
      </w:r>
    </w:p>
    <w:p w:rsidR="00E75A42" w:rsidRPr="00E75A42" w:rsidRDefault="00E75A42" w:rsidP="00E75A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nebezpečím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biologičtí, chemičtí nebo fyzikální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činitelé v potravinách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nebo krmivech nebo stav potravin nebo krmiv, které mohou mít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nepříznivý účinek na zdraví</w:t>
      </w:r>
    </w:p>
    <w:p w:rsidR="00E75A42" w:rsidRPr="00E75A42" w:rsidRDefault="00E75A42" w:rsidP="00E75A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rizikem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míra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pravděpodobnosti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nepříznivého účinku na zdraví a závažnosti tohoto účinku</w:t>
      </w:r>
    </w:p>
    <w:p w:rsidR="00E75A42" w:rsidRPr="00E75A42" w:rsidRDefault="00E75A42" w:rsidP="00E75A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analýzou rizika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proces skládající se z 3e vzájemně propojených součástí: hodnocení rizika, řízení rizika a sdělování o riziku</w:t>
      </w:r>
    </w:p>
    <w:p w:rsidR="00E75A42" w:rsidRPr="00E75A42" w:rsidRDefault="00E75A42" w:rsidP="00E75A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lastRenderedPageBreak/>
        <w:t>konečným spotřebitelem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konečný spotřebitel potraviny, který nepoužije potravinu v rámci provozování potravinářského podniku nebo jeho činnosti</w:t>
      </w:r>
    </w:p>
    <w:p w:rsidR="00E75A42" w:rsidRPr="00E75A42" w:rsidRDefault="00E75A42" w:rsidP="0043185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b/>
          <w:bCs/>
          <w:sz w:val="21"/>
          <w:szCs w:val="21"/>
          <w:u w:val="single"/>
          <w:lang w:eastAsia="cs-CZ"/>
        </w:rPr>
        <w:t>Obecné cíle potravinového práva EU (čl. 5):</w:t>
      </w:r>
    </w:p>
    <w:p w:rsidR="00E75A42" w:rsidRPr="00E75A42" w:rsidRDefault="00E75A42" w:rsidP="0043185D">
      <w:pPr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cíl vysoké úrovně ochrany lidského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zdraví a ochrany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zájmů </w:t>
      </w:r>
      <w:r w:rsidRPr="00E75A42">
        <w:rPr>
          <w:rFonts w:ascii="Segoe UI" w:eastAsia="Times New Roman" w:hAnsi="Segoe UI" w:cs="Segoe UI"/>
          <w:i/>
          <w:iCs/>
          <w:sz w:val="21"/>
          <w:szCs w:val="21"/>
          <w:lang w:eastAsia="cs-CZ"/>
        </w:rPr>
        <w:t>spotřebitelů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, včetně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poctivého jednání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v obchodu s potravinami, a popřípadě zohledňuje ochranu zdraví a dobré životní podmínky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zvířat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, zdraví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rostlin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a ochranu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životního prostředí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br/>
        <w:t>Potravinové právo má za cíl, aby byl ve Společenství dosažen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volný pohyb potravin a krmiv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vyrobených nebo uvedených na trh.</w:t>
      </w:r>
    </w:p>
    <w:p w:rsidR="00E75A42" w:rsidRPr="00E75A42" w:rsidRDefault="00E75A42" w:rsidP="00E75A4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b/>
          <w:bCs/>
          <w:sz w:val="21"/>
          <w:szCs w:val="21"/>
          <w:u w:val="single"/>
          <w:lang w:eastAsia="cs-CZ"/>
        </w:rPr>
        <w:t>Analýza rizika (čl. 6):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br/>
        <w:t>Hodnocení rizika je založeno na dostupných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vědeckých důkazech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a provádí se n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ezávislým, objektivním a průhledným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způsobem.</w:t>
      </w:r>
    </w:p>
    <w:p w:rsidR="00E75A42" w:rsidRPr="00E75A42" w:rsidRDefault="00E75A42" w:rsidP="00E75A4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b/>
          <w:bCs/>
          <w:sz w:val="21"/>
          <w:szCs w:val="21"/>
          <w:u w:val="single"/>
          <w:lang w:eastAsia="cs-CZ"/>
        </w:rPr>
        <w:t>Zásada předběžné opatrnosti (čl. 7):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br/>
        <w:t>V případě nejistoty ohledně možných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negativních účinků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potravin/krmiv na zdraví mohou být přijata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předběžná opatření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, která jsou nezbytná k zajištění ochrany zdraví. Nesmí však omezovat obchod více než je nezbytně nutné.</w:t>
      </w:r>
    </w:p>
    <w:p w:rsidR="00E75A42" w:rsidRPr="00E75A42" w:rsidRDefault="00E75A42" w:rsidP="0043185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b/>
          <w:bCs/>
          <w:sz w:val="21"/>
          <w:szCs w:val="21"/>
          <w:u w:val="single"/>
          <w:lang w:eastAsia="cs-CZ"/>
        </w:rPr>
        <w:t>Ochrana zájmů spotřebitele (čl. 8):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br/>
        <w:t>Cíly jsou:</w:t>
      </w:r>
    </w:p>
    <w:p w:rsidR="00E75A42" w:rsidRPr="00E75A42" w:rsidRDefault="00E75A42" w:rsidP="0043185D">
      <w:pPr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chránit zájmy spotřebitelů</w:t>
      </w:r>
    </w:p>
    <w:p w:rsidR="00E75A42" w:rsidRPr="00E75A42" w:rsidRDefault="00E75A42" w:rsidP="0043185D">
      <w:pPr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poskytovat jim základ, který jim umožní vybírat si potraviny, které konzumují</w:t>
      </w:r>
    </w:p>
    <w:p w:rsidR="00E75A42" w:rsidRPr="00E75A42" w:rsidRDefault="00E75A42" w:rsidP="00E75A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zabránit podvodným praktikám, falšování potravin a praktikám, které mohou spotřebitele uvést v omyl</w:t>
      </w:r>
    </w:p>
    <w:p w:rsidR="00E75A42" w:rsidRPr="00E75A42" w:rsidRDefault="00E75A42" w:rsidP="0043185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b/>
          <w:bCs/>
          <w:sz w:val="21"/>
          <w:szCs w:val="21"/>
          <w:u w:val="single"/>
          <w:lang w:eastAsia="cs-CZ"/>
        </w:rPr>
        <w:t>Bezpečnost potravin (čl. 14):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br/>
        <w:t>Potravina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nesmí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být uvedena na trh,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není-li bezpečná.</w:t>
      </w:r>
      <w:r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 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Za takovou ji považujeme, je-li:</w:t>
      </w:r>
    </w:p>
    <w:p w:rsidR="00E75A42" w:rsidRPr="00E75A42" w:rsidRDefault="00E75A42" w:rsidP="0043185D">
      <w:pPr>
        <w:numPr>
          <w:ilvl w:val="0"/>
          <w:numId w:val="7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škodlivá pro zdraví</w:t>
      </w:r>
    </w:p>
    <w:p w:rsidR="00E75A42" w:rsidRPr="00E75A42" w:rsidRDefault="00E75A42" w:rsidP="0043185D">
      <w:pPr>
        <w:numPr>
          <w:ilvl w:val="0"/>
          <w:numId w:val="7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nevhodná k lidské spotřebě Bezpečnost potraviny a její škodlivost se posuzuje podle:</w:t>
      </w:r>
    </w:p>
    <w:p w:rsidR="00E75A42" w:rsidRPr="00E75A42" w:rsidRDefault="00E75A42" w:rsidP="00E75A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obvyklé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podmínky použití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potraviny</w:t>
      </w:r>
    </w:p>
    <w:p w:rsidR="00E75A42" w:rsidRPr="00E75A42" w:rsidRDefault="00E75A42" w:rsidP="00E75A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informace poskytnuté spotřebiteli</w:t>
      </w:r>
    </w:p>
    <w:p w:rsidR="00E75A42" w:rsidRPr="00E75A42" w:rsidRDefault="00E75A42" w:rsidP="00E75A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pravděpodobné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účinky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dotyčné potraviny </w:t>
      </w:r>
      <w:r w:rsidRPr="00E75A42">
        <w:rPr>
          <w:rFonts w:ascii="Segoe UI" w:eastAsia="Times New Roman" w:hAnsi="Segoe UI" w:cs="Segoe UI"/>
          <w:i/>
          <w:iCs/>
          <w:sz w:val="21"/>
          <w:szCs w:val="21"/>
          <w:lang w:eastAsia="cs-CZ"/>
        </w:rPr>
        <w:t>(krátkodobé i dlouhodobé, na zdraví osoby, která ji konzumuje, ale i na zdraví dalších generací)</w:t>
      </w:r>
    </w:p>
    <w:p w:rsidR="00E75A42" w:rsidRPr="00E75A42" w:rsidRDefault="00E75A42" w:rsidP="00E75A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pravděpodobné kumulativní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toxické účinky</w:t>
      </w:r>
    </w:p>
    <w:p w:rsidR="00E75A42" w:rsidRPr="00E75A42" w:rsidRDefault="00E75A42" w:rsidP="00E75A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zvláštní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zdravotní citlivost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určité skupiny spotřebitelů</w:t>
      </w:r>
    </w:p>
    <w:p w:rsidR="00E75A42" w:rsidRPr="00E75A42" w:rsidRDefault="00E75A42" w:rsidP="00E75A4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b/>
          <w:bCs/>
          <w:sz w:val="21"/>
          <w:szCs w:val="21"/>
          <w:u w:val="single"/>
          <w:lang w:eastAsia="cs-CZ"/>
        </w:rPr>
        <w:t>Bezpečnost krmiv (čl. 15):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br/>
        <w:t>Pokud krmivo není bezpečné, nesmí být uvedeno na trh ani jím nesmí být krmena žádná zvířata určená k produkci potravin.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br/>
        <w:t>Krmivo se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nepovažuje za bezpečné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:</w:t>
      </w:r>
    </w:p>
    <w:p w:rsidR="00E75A42" w:rsidRPr="00E75A42" w:rsidRDefault="00E75A42" w:rsidP="00E75A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má-li škodlivý účinek na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lidské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zdraví nebo na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zdraví zvířat</w:t>
      </w:r>
    </w:p>
    <w:p w:rsidR="00E75A42" w:rsidRPr="00E75A42" w:rsidRDefault="00E75A42" w:rsidP="00E75A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pokud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potraviny získané ze zvířat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určených k produkci potravin nejsou bezpečné pro lidskou spotřebu</w:t>
      </w:r>
    </w:p>
    <w:p w:rsidR="0043185D" w:rsidRDefault="00E75A42" w:rsidP="00E75A4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b/>
          <w:bCs/>
          <w:sz w:val="21"/>
          <w:szCs w:val="21"/>
          <w:u w:val="single"/>
          <w:lang w:eastAsia="cs-CZ"/>
        </w:rPr>
        <w:t>Sledovatelnost potravin a krmiv (čl. 18):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br/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Ve všech fázích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výroby, zpracování a distribuce je nutné zajistit sledovatelnost potravin, krmiv, a zvířat.</w:t>
      </w:r>
    </w:p>
    <w:p w:rsidR="00E75A42" w:rsidRPr="00E75A42" w:rsidRDefault="00E75A42" w:rsidP="0043185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lastRenderedPageBreak/>
        <w:t>Provozovatelé potravinářských/krmivářských podniků</w:t>
      </w:r>
    </w:p>
    <w:p w:rsidR="00E75A42" w:rsidRPr="00E75A42" w:rsidRDefault="00E75A42" w:rsidP="0043185D">
      <w:pPr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musí být schopni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identifikovat každou osobu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, která jim je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dodala</w:t>
      </w:r>
    </w:p>
    <w:p w:rsidR="00E75A42" w:rsidRPr="00E75A42" w:rsidRDefault="00E75A42" w:rsidP="00E75A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zavedou systémy a postupy, umožňující identifikovat podniky, kterým byly dodány jejich výrobky. </w:t>
      </w:r>
      <w:r w:rsidRPr="00E75A42">
        <w:rPr>
          <w:rFonts w:ascii="Segoe UI" w:eastAsia="Times New Roman" w:hAnsi="Segoe UI" w:cs="Segoe UI"/>
          <w:i/>
          <w:iCs/>
          <w:sz w:val="21"/>
          <w:szCs w:val="21"/>
          <w:lang w:eastAsia="cs-CZ"/>
        </w:rPr>
        <w:t>Informace poskytnou na požádání příslušným orgánům.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br/>
        <w:t>Potraviny a krmiva uváděné na trh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musí být řádně označeny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nebo identifikovány pomocí dokumentace.</w:t>
      </w:r>
    </w:p>
    <w:p w:rsidR="00E75A42" w:rsidRPr="00E75A42" w:rsidRDefault="00E75A42" w:rsidP="00E75A4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b/>
          <w:bCs/>
          <w:sz w:val="21"/>
          <w:szCs w:val="21"/>
          <w:u w:val="single"/>
          <w:lang w:eastAsia="cs-CZ"/>
        </w:rPr>
        <w:t>Odpovědnost provozovatelů potravinářských podniků za potraviny (čl. 19):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br/>
        <w:t>Jestliže se provozovatel potravinářského podniku domnívá, že potravina není v souladu s požadavky na bezpečnost potravin,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neprodleně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přistoupí ke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stažení</w:t>
      </w:r>
      <w:r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 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dotyčné potraviny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z trhu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a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uvědomí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o tom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příslušné orgány.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br/>
        <w:t>Pokud se produkt mohl dostat ke spotřebiteli, provozovatel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informuje spotřebitele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o důvodu jeho stažení.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br/>
        <w:t>Provozovatelé potravinářských podniků spolupracují s příslušnými orgány v rámci opatření přijatých s cílem zabránit riziku spojenému s potravinou, kterou dodali, nebo toto riziko zmenšit.</w:t>
      </w:r>
    </w:p>
    <w:p w:rsidR="00E75A42" w:rsidRPr="00E75A42" w:rsidRDefault="00E75A42" w:rsidP="0043185D">
      <w:pPr>
        <w:spacing w:before="480" w:after="100" w:afterAutospacing="1" w:line="240" w:lineRule="auto"/>
        <w:outlineLvl w:val="3"/>
        <w:rPr>
          <w:rFonts w:ascii="Segoe UI" w:eastAsia="Times New Roman" w:hAnsi="Segoe UI" w:cs="Segoe UI"/>
          <w:b/>
          <w:bCs/>
          <w:sz w:val="24"/>
          <w:szCs w:val="21"/>
          <w:lang w:eastAsia="cs-CZ"/>
        </w:rPr>
      </w:pPr>
      <w:r w:rsidRPr="00E75A42">
        <w:rPr>
          <w:rFonts w:ascii="Segoe UI" w:eastAsia="Times New Roman" w:hAnsi="Segoe UI" w:cs="Segoe UI"/>
          <w:b/>
          <w:bCs/>
          <w:sz w:val="24"/>
          <w:szCs w:val="21"/>
          <w:lang w:eastAsia="cs-CZ"/>
        </w:rPr>
        <w:t>Zřízení Evropského úřadu pro bezpečnost potravin (EFSA) (kapitola III):</w:t>
      </w:r>
    </w:p>
    <w:p w:rsidR="00E75A42" w:rsidRPr="00E75A42" w:rsidRDefault="00E75A42" w:rsidP="0043185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Jeho poslání (čl. 22):</w:t>
      </w:r>
    </w:p>
    <w:p w:rsidR="00E75A42" w:rsidRPr="00E75A42" w:rsidRDefault="00E75A42" w:rsidP="0043185D">
      <w:pPr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poskytuje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vědecká stanoviska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pro činnost Společenství ve všech oblastech, které mají přímý nebo nepřímý vliv na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bezpečnost potravin a krmiv</w:t>
      </w:r>
    </w:p>
    <w:p w:rsidR="00E75A42" w:rsidRPr="00E75A42" w:rsidRDefault="00E75A42" w:rsidP="00E75A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je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nezávislým zdrojem těchto informací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a zabezpečuje sdělování o riziku</w:t>
      </w:r>
    </w:p>
    <w:p w:rsidR="00E75A42" w:rsidRPr="00E75A42" w:rsidRDefault="00E75A42" w:rsidP="00E75A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shromažďuje a analyzuje údaje umožňující charakterizovat a sledovat rizika, která mají přímý nebo nepřímý vliv na bezpečnost potravin a krmiv.</w:t>
      </w:r>
    </w:p>
    <w:p w:rsidR="00E75A42" w:rsidRPr="00E75A42" w:rsidRDefault="00E75A42" w:rsidP="0043185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Úkoly úřadu (čl. 23):</w:t>
      </w:r>
    </w:p>
    <w:p w:rsidR="00E75A42" w:rsidRPr="00E75A42" w:rsidRDefault="00E75A42" w:rsidP="0043185D">
      <w:pPr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poskytuje co nejlepší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vědecká stanoviska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v rámci své působnosti</w:t>
      </w:r>
    </w:p>
    <w:p w:rsidR="00E75A42" w:rsidRPr="00E75A42" w:rsidRDefault="00E75A42" w:rsidP="00E75A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podporuje a koordinuje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vývoj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jednotných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metodik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hodnocení rizika v oblastech spadajících do jeho působnosti</w:t>
      </w:r>
    </w:p>
    <w:p w:rsidR="00E75A42" w:rsidRPr="00E75A42" w:rsidRDefault="00E75A42" w:rsidP="00E75A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poskytuje vědeckou a technickou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podporu Komisi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v oblastech své působnosti</w:t>
      </w:r>
    </w:p>
    <w:p w:rsidR="00E75A42" w:rsidRPr="00E75A42" w:rsidRDefault="00E75A42" w:rsidP="00E75A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vyhledává, shromažďuje, uspořádává, analyzuje a shrnuje vědecké a technické údaje v oblastech své působnosti</w:t>
      </w:r>
    </w:p>
    <w:p w:rsidR="00E75A42" w:rsidRPr="00E75A42" w:rsidRDefault="00E75A42" w:rsidP="00E75A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zajišťuje, aby v oblastech jeho poslání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dostávala veřejnost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a zúčastněné osoby rychlé, spolehlivé, objektivní a </w:t>
      </w:r>
      <w:r w:rsidRPr="00E75A42">
        <w:rPr>
          <w:rFonts w:ascii="Segoe UI" w:eastAsia="Times New Roman" w:hAnsi="Segoe UI" w:cs="Segoe UI"/>
          <w:i/>
          <w:iCs/>
          <w:sz w:val="21"/>
          <w:szCs w:val="21"/>
          <w:lang w:eastAsia="cs-CZ"/>
        </w:rPr>
        <w:t>srozumitelné informace</w:t>
      </w:r>
    </w:p>
    <w:p w:rsidR="00E75A42" w:rsidRPr="00E75A42" w:rsidRDefault="00E75A42" w:rsidP="0043185D">
      <w:pPr>
        <w:spacing w:after="0" w:line="240" w:lineRule="auto"/>
        <w:outlineLvl w:val="3"/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Systém včasné výměny informací (RASFF) (čl. 50):</w:t>
      </w:r>
    </w:p>
    <w:p w:rsidR="00E75A42" w:rsidRPr="00E75A42" w:rsidRDefault="00E75A42" w:rsidP="0043185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Zřizuje se RASFF ve formě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sítě pro oznamování</w:t>
      </w:r>
      <w:r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 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přímého nebo nepřímého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rizika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 pro lidské zdraví pocházejícího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z potraviny nebo krmiva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.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br/>
        <w:t>V systému jsou zastoupeny </w:t>
      </w: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členské státy, Komise a EFSA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t>, za správu sítě odpovídá Komise.</w:t>
      </w:r>
    </w:p>
    <w:p w:rsidR="00E75A42" w:rsidRPr="00E75A42" w:rsidRDefault="00E75A42" w:rsidP="0043185D">
      <w:pPr>
        <w:spacing w:before="120"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sz w:val="21"/>
          <w:szCs w:val="21"/>
          <w:u w:val="single"/>
          <w:lang w:eastAsia="cs-CZ"/>
        </w:rPr>
        <w:t>Postup předání info</w:t>
      </w:r>
      <w:bookmarkStart w:id="0" w:name="_GoBack"/>
      <w:bookmarkEnd w:id="0"/>
      <w:r w:rsidRPr="00E75A42">
        <w:rPr>
          <w:rFonts w:ascii="Segoe UI" w:eastAsia="Times New Roman" w:hAnsi="Segoe UI" w:cs="Segoe UI"/>
          <w:sz w:val="21"/>
          <w:szCs w:val="21"/>
          <w:u w:val="single"/>
          <w:lang w:eastAsia="cs-CZ"/>
        </w:rPr>
        <w:t>rmace o existenci rizika z potraviny nebo krmiva:</w:t>
      </w:r>
    </w:p>
    <w:p w:rsidR="00E75A42" w:rsidRPr="0043185D" w:rsidRDefault="00E75A42" w:rsidP="0043185D">
      <w:pPr>
        <w:numPr>
          <w:ilvl w:val="0"/>
          <w:numId w:val="12"/>
        </w:numPr>
        <w:spacing w:after="0" w:line="240" w:lineRule="auto"/>
        <w:rPr>
          <w:rFonts w:ascii="Segoe UI" w:eastAsia="Times New Roman" w:hAnsi="Segoe UI" w:cs="Segoe UI"/>
          <w:color w:val="808080" w:themeColor="background1" w:themeShade="80"/>
          <w:sz w:val="21"/>
          <w:szCs w:val="21"/>
          <w:lang w:eastAsia="cs-CZ"/>
        </w:rPr>
      </w:pPr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člen </w:t>
      </w:r>
      <w:proofErr w:type="gramStart"/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sítě - pomocí</w:t>
      </w:r>
      <w:proofErr w:type="gramEnd"/>
      <w:r w:rsidRPr="00E75A42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 RASFF neprodleně oznámeno Komisi - neprodleně oznámeno ostatním členům sítě</w:t>
      </w:r>
      <w:r w:rsidRPr="00E75A42">
        <w:rPr>
          <w:rFonts w:ascii="Segoe UI" w:eastAsia="Times New Roman" w:hAnsi="Segoe UI" w:cs="Segoe UI"/>
          <w:sz w:val="21"/>
          <w:szCs w:val="21"/>
          <w:lang w:eastAsia="cs-CZ"/>
        </w:rPr>
        <w:br/>
      </w:r>
      <w:r w:rsidRPr="0043185D">
        <w:rPr>
          <w:rFonts w:ascii="Segoe UI" w:eastAsia="Times New Roman" w:hAnsi="Segoe UI" w:cs="Segoe UI"/>
          <w:i/>
          <w:iCs/>
          <w:color w:val="808080" w:themeColor="background1" w:themeShade="80"/>
          <w:sz w:val="21"/>
          <w:szCs w:val="21"/>
          <w:lang w:eastAsia="cs-CZ"/>
        </w:rPr>
        <w:t>EFSA může doplnit toto oznámení o vědeckou nebo technickou informaci, která členským státům umožní přijmout rychlá a vhodná opatření v rámci řízení rizika.</w:t>
      </w:r>
    </w:p>
    <w:p w:rsidR="00E75A42" w:rsidRPr="0043185D" w:rsidRDefault="00E75A42">
      <w:pPr>
        <w:rPr>
          <w:color w:val="808080" w:themeColor="background1" w:themeShade="80"/>
        </w:rPr>
      </w:pPr>
    </w:p>
    <w:sectPr w:rsidR="00E75A42" w:rsidRPr="004318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35B" w:rsidRDefault="004C635B" w:rsidP="00E75A42">
      <w:pPr>
        <w:spacing w:after="0" w:line="240" w:lineRule="auto"/>
      </w:pPr>
      <w:r>
        <w:separator/>
      </w:r>
    </w:p>
  </w:endnote>
  <w:endnote w:type="continuationSeparator" w:id="0">
    <w:p w:rsidR="004C635B" w:rsidRDefault="004C635B" w:rsidP="00E7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6774573"/>
      <w:docPartObj>
        <w:docPartGallery w:val="Page Numbers (Bottom of Page)"/>
        <w:docPartUnique/>
      </w:docPartObj>
    </w:sdtPr>
    <w:sdtEndPr/>
    <w:sdtContent>
      <w:p w:rsidR="00E75A42" w:rsidRDefault="00E75A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75A42" w:rsidRDefault="00E75A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35B" w:rsidRDefault="004C635B" w:rsidP="00E75A42">
      <w:pPr>
        <w:spacing w:after="0" w:line="240" w:lineRule="auto"/>
      </w:pPr>
      <w:r>
        <w:separator/>
      </w:r>
    </w:p>
  </w:footnote>
  <w:footnote w:type="continuationSeparator" w:id="0">
    <w:p w:rsidR="004C635B" w:rsidRDefault="004C635B" w:rsidP="00E75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4810"/>
    <w:multiLevelType w:val="multilevel"/>
    <w:tmpl w:val="859A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E31E6"/>
    <w:multiLevelType w:val="multilevel"/>
    <w:tmpl w:val="F978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F7D7B"/>
    <w:multiLevelType w:val="multilevel"/>
    <w:tmpl w:val="5682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61501"/>
    <w:multiLevelType w:val="multilevel"/>
    <w:tmpl w:val="1958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F745B"/>
    <w:multiLevelType w:val="multilevel"/>
    <w:tmpl w:val="16B0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33979"/>
    <w:multiLevelType w:val="multilevel"/>
    <w:tmpl w:val="1146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147042"/>
    <w:multiLevelType w:val="multilevel"/>
    <w:tmpl w:val="D4FC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636527"/>
    <w:multiLevelType w:val="multilevel"/>
    <w:tmpl w:val="BD4E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2C08EE"/>
    <w:multiLevelType w:val="multilevel"/>
    <w:tmpl w:val="7DDA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3C05F7"/>
    <w:multiLevelType w:val="multilevel"/>
    <w:tmpl w:val="29D8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D322DB"/>
    <w:multiLevelType w:val="multilevel"/>
    <w:tmpl w:val="EAF6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334428"/>
    <w:multiLevelType w:val="multilevel"/>
    <w:tmpl w:val="0D08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42"/>
    <w:rsid w:val="0043185D"/>
    <w:rsid w:val="004C635B"/>
    <w:rsid w:val="00E75A42"/>
    <w:rsid w:val="00E9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1710"/>
  <w15:chartTrackingRefBased/>
  <w15:docId w15:val="{29BCE588-E161-422B-86AB-023D81BD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75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75A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75A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5A4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75A4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75A4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ode-line">
    <w:name w:val="code-line"/>
    <w:basedOn w:val="Normln"/>
    <w:rsid w:val="00E7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75A4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E75A4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75A4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7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A42"/>
  </w:style>
  <w:style w:type="paragraph" w:styleId="Zpat">
    <w:name w:val="footer"/>
    <w:basedOn w:val="Normln"/>
    <w:link w:val="ZpatChar"/>
    <w:uiPriority w:val="99"/>
    <w:unhideWhenUsed/>
    <w:rsid w:val="00E7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9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0763">
          <w:blockQuote w:val="1"/>
          <w:marLeft w:val="75"/>
          <w:marRight w:val="105"/>
          <w:marTop w:val="0"/>
          <w:marBottom w:val="0"/>
          <w:divBdr>
            <w:top w:val="none" w:sz="0" w:space="0" w:color="auto"/>
            <w:left w:val="single" w:sz="36" w:space="8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CS/TXT/PDF/?uri=CELEX:32002R0178&amp;qid=1534441126565&amp;from=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1040</Words>
  <Characters>6141</Characters>
  <Application>Microsoft Office Word</Application>
  <DocSecurity>0</DocSecurity>
  <Lines>51</Lines>
  <Paragraphs>14</Paragraphs>
  <ScaleCrop>false</ScaleCrop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čejková</dc:creator>
  <cp:keywords/>
  <dc:description/>
  <cp:lastModifiedBy>Lenka čejková</cp:lastModifiedBy>
  <cp:revision>2</cp:revision>
  <dcterms:created xsi:type="dcterms:W3CDTF">2018-10-06T11:50:00Z</dcterms:created>
  <dcterms:modified xsi:type="dcterms:W3CDTF">2018-10-08T15:10:00Z</dcterms:modified>
</cp:coreProperties>
</file>