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9AB" w:rsidRPr="00034BDD" w:rsidRDefault="00C124E3" w:rsidP="00C124E3">
      <w:pPr>
        <w:spacing w:after="0"/>
        <w:jc w:val="both"/>
        <w:rPr>
          <w:b/>
          <w:sz w:val="24"/>
          <w:szCs w:val="24"/>
        </w:rPr>
      </w:pPr>
      <w:r w:rsidRPr="00034BDD">
        <w:rPr>
          <w:b/>
          <w:sz w:val="24"/>
          <w:szCs w:val="24"/>
        </w:rPr>
        <w:t>Úhyn ryb v rybníce</w:t>
      </w:r>
      <w:r w:rsidR="004C29AB" w:rsidRPr="00034BDD">
        <w:rPr>
          <w:b/>
          <w:sz w:val="24"/>
          <w:szCs w:val="24"/>
        </w:rPr>
        <w:t xml:space="preserve"> jako důsledek </w:t>
      </w:r>
      <w:r w:rsidR="002D6AAB" w:rsidRPr="00034BDD">
        <w:rPr>
          <w:b/>
          <w:sz w:val="24"/>
          <w:szCs w:val="24"/>
        </w:rPr>
        <w:t>deficitu kyslíku</w:t>
      </w:r>
      <w:r w:rsidR="00A978C0" w:rsidRPr="00034BDD">
        <w:rPr>
          <w:b/>
          <w:sz w:val="24"/>
          <w:szCs w:val="24"/>
        </w:rPr>
        <w:t xml:space="preserve"> </w:t>
      </w:r>
      <w:r w:rsidR="004C29AB" w:rsidRPr="00034BDD">
        <w:rPr>
          <w:b/>
          <w:sz w:val="24"/>
          <w:szCs w:val="24"/>
        </w:rPr>
        <w:t>– říjen 2014</w:t>
      </w:r>
    </w:p>
    <w:p w:rsidR="00C124E3" w:rsidRPr="00034BDD" w:rsidRDefault="00C124E3" w:rsidP="00C124E3">
      <w:pPr>
        <w:spacing w:after="0" w:line="240" w:lineRule="auto"/>
        <w:jc w:val="both"/>
        <w:rPr>
          <w:sz w:val="20"/>
          <w:szCs w:val="20"/>
        </w:rPr>
      </w:pPr>
    </w:p>
    <w:p w:rsidR="00C124E3" w:rsidRDefault="00AA3B93" w:rsidP="00C124E3">
      <w:pPr>
        <w:spacing w:after="0" w:line="240" w:lineRule="auto"/>
        <w:jc w:val="both"/>
        <w:rPr>
          <w:sz w:val="20"/>
          <w:szCs w:val="20"/>
        </w:rPr>
      </w:pPr>
      <w:r w:rsidRPr="00034BDD">
        <w:rPr>
          <w:sz w:val="20"/>
          <w:szCs w:val="20"/>
        </w:rPr>
        <w:t xml:space="preserve">K úhynu ryb </w:t>
      </w:r>
      <w:r w:rsidR="00695FE5" w:rsidRPr="00034BDD">
        <w:rPr>
          <w:sz w:val="20"/>
          <w:szCs w:val="20"/>
        </w:rPr>
        <w:t>došlo na rybníce v obci Poštorná</w:t>
      </w:r>
      <w:r w:rsidR="000E04B3" w:rsidRPr="00034BDD">
        <w:rPr>
          <w:sz w:val="20"/>
          <w:szCs w:val="20"/>
        </w:rPr>
        <w:t xml:space="preserve"> (okres Břeclav)</w:t>
      </w:r>
      <w:r w:rsidRPr="00034BDD">
        <w:rPr>
          <w:sz w:val="20"/>
          <w:szCs w:val="20"/>
        </w:rPr>
        <w:t>.</w:t>
      </w:r>
      <w:r w:rsidR="000E04B3" w:rsidRPr="00034BDD">
        <w:rPr>
          <w:sz w:val="20"/>
          <w:szCs w:val="20"/>
        </w:rPr>
        <w:t xml:space="preserve"> </w:t>
      </w:r>
      <w:r w:rsidR="00243800" w:rsidRPr="00034BDD">
        <w:rPr>
          <w:sz w:val="20"/>
          <w:szCs w:val="20"/>
        </w:rPr>
        <w:t>Je</w:t>
      </w:r>
      <w:r w:rsidR="00176278" w:rsidRPr="00034BDD">
        <w:rPr>
          <w:sz w:val="20"/>
          <w:szCs w:val="20"/>
        </w:rPr>
        <w:t>dnalo se o soustavu dvou rybníků</w:t>
      </w:r>
      <w:r w:rsidR="00752D5E" w:rsidRPr="00034BDD">
        <w:rPr>
          <w:sz w:val="20"/>
          <w:szCs w:val="20"/>
        </w:rPr>
        <w:t xml:space="preserve"> </w:t>
      </w:r>
      <w:r w:rsidR="00E92B40" w:rsidRPr="00034BDD">
        <w:rPr>
          <w:sz w:val="20"/>
          <w:szCs w:val="20"/>
        </w:rPr>
        <w:t xml:space="preserve">se smíšenou </w:t>
      </w:r>
      <w:r w:rsidR="00695FE5" w:rsidRPr="00034BDD">
        <w:rPr>
          <w:sz w:val="20"/>
          <w:szCs w:val="20"/>
        </w:rPr>
        <w:t xml:space="preserve">rybí </w:t>
      </w:r>
      <w:r w:rsidR="00E92B40" w:rsidRPr="00034BDD">
        <w:rPr>
          <w:sz w:val="20"/>
          <w:szCs w:val="20"/>
        </w:rPr>
        <w:t>obsádkou</w:t>
      </w:r>
      <w:r w:rsidR="00695FE5" w:rsidRPr="00034BDD">
        <w:rPr>
          <w:sz w:val="20"/>
          <w:szCs w:val="20"/>
        </w:rPr>
        <w:t>. Do menšího</w:t>
      </w:r>
      <w:r w:rsidR="00176278" w:rsidRPr="00034BDD">
        <w:rPr>
          <w:sz w:val="20"/>
          <w:szCs w:val="20"/>
        </w:rPr>
        <w:t xml:space="preserve"> rybníka</w:t>
      </w:r>
      <w:r w:rsidR="00695FE5" w:rsidRPr="00034BDD">
        <w:rPr>
          <w:sz w:val="20"/>
          <w:szCs w:val="20"/>
        </w:rPr>
        <w:t xml:space="preserve"> (2486 m</w:t>
      </w:r>
      <w:r w:rsidR="00695FE5" w:rsidRPr="00034BDD">
        <w:rPr>
          <w:sz w:val="20"/>
          <w:szCs w:val="20"/>
          <w:vertAlign w:val="superscript"/>
        </w:rPr>
        <w:t>2</w:t>
      </w:r>
      <w:r w:rsidR="00695FE5" w:rsidRPr="00034BDD">
        <w:rPr>
          <w:sz w:val="20"/>
          <w:szCs w:val="20"/>
        </w:rPr>
        <w:t>)</w:t>
      </w:r>
      <w:r w:rsidR="00243800" w:rsidRPr="00034BDD">
        <w:rPr>
          <w:sz w:val="20"/>
          <w:szCs w:val="20"/>
        </w:rPr>
        <w:t xml:space="preserve"> </w:t>
      </w:r>
      <w:r w:rsidR="00176278" w:rsidRPr="00034BDD">
        <w:rPr>
          <w:sz w:val="20"/>
          <w:szCs w:val="20"/>
        </w:rPr>
        <w:t>vede přítok z potoka</w:t>
      </w:r>
      <w:r w:rsidR="00695FE5" w:rsidRPr="00034BDD">
        <w:rPr>
          <w:sz w:val="20"/>
          <w:szCs w:val="20"/>
        </w:rPr>
        <w:t xml:space="preserve"> </w:t>
      </w:r>
      <w:proofErr w:type="spellStart"/>
      <w:r w:rsidR="00695FE5" w:rsidRPr="00034BDD">
        <w:rPr>
          <w:sz w:val="20"/>
          <w:szCs w:val="20"/>
        </w:rPr>
        <w:t>Včelínek</w:t>
      </w:r>
      <w:proofErr w:type="spellEnd"/>
      <w:r w:rsidR="00695FE5" w:rsidRPr="00034BDD">
        <w:rPr>
          <w:sz w:val="20"/>
          <w:szCs w:val="20"/>
        </w:rPr>
        <w:t xml:space="preserve">, menší rybník </w:t>
      </w:r>
      <w:r w:rsidR="004A0FBA" w:rsidRPr="00034BDD">
        <w:rPr>
          <w:sz w:val="20"/>
          <w:szCs w:val="20"/>
        </w:rPr>
        <w:t xml:space="preserve">je </w:t>
      </w:r>
      <w:r w:rsidR="00695FE5" w:rsidRPr="00034BDD">
        <w:rPr>
          <w:sz w:val="20"/>
          <w:szCs w:val="20"/>
        </w:rPr>
        <w:t>s druhým větším (6416 m</w:t>
      </w:r>
      <w:r w:rsidR="00695FE5" w:rsidRPr="00034BDD">
        <w:rPr>
          <w:sz w:val="20"/>
          <w:szCs w:val="20"/>
          <w:vertAlign w:val="superscript"/>
        </w:rPr>
        <w:t>2</w:t>
      </w:r>
      <w:r w:rsidR="004A0FBA" w:rsidRPr="00034BDD">
        <w:rPr>
          <w:sz w:val="20"/>
          <w:szCs w:val="20"/>
        </w:rPr>
        <w:t xml:space="preserve">) </w:t>
      </w:r>
      <w:r w:rsidR="00695FE5" w:rsidRPr="00034BDD">
        <w:rPr>
          <w:sz w:val="20"/>
          <w:szCs w:val="20"/>
        </w:rPr>
        <w:t>spojen podzemním potrubím</w:t>
      </w:r>
      <w:r w:rsidR="004A0FBA" w:rsidRPr="00034BDD">
        <w:rPr>
          <w:sz w:val="20"/>
          <w:szCs w:val="20"/>
        </w:rPr>
        <w:t xml:space="preserve">. Průměrná hloubka v obou rybnících je přibližně 1,5 m. Dalším zdrojem vody v rybnících je několik drobných pramenišť podzemní vody, které byly objeveny při posledním kompletním </w:t>
      </w:r>
      <w:r w:rsidR="00AF1F2C" w:rsidRPr="00034BDD">
        <w:rPr>
          <w:sz w:val="20"/>
          <w:szCs w:val="20"/>
        </w:rPr>
        <w:t xml:space="preserve">čištění rybníků. </w:t>
      </w:r>
      <w:r w:rsidR="004A0FBA" w:rsidRPr="00034BDD">
        <w:rPr>
          <w:sz w:val="20"/>
          <w:szCs w:val="20"/>
        </w:rPr>
        <w:t>Oba rybníky byly před čtyřmi l</w:t>
      </w:r>
      <w:r w:rsidR="00176278" w:rsidRPr="00034BDD">
        <w:rPr>
          <w:sz w:val="20"/>
          <w:szCs w:val="20"/>
        </w:rPr>
        <w:t>ety zcela vypuštěny, odbahněny</w:t>
      </w:r>
      <w:r w:rsidR="004A0FBA" w:rsidRPr="00034BDD">
        <w:rPr>
          <w:sz w:val="20"/>
          <w:szCs w:val="20"/>
        </w:rPr>
        <w:t xml:space="preserve"> a opětovně napuštěny. Ryb</w:t>
      </w:r>
      <w:r w:rsidR="00176278" w:rsidRPr="00034BDD">
        <w:rPr>
          <w:sz w:val="20"/>
          <w:szCs w:val="20"/>
        </w:rPr>
        <w:t>níky slouží k rekreačním účelům. Kromě ryb se</w:t>
      </w:r>
      <w:r w:rsidR="004A0FBA" w:rsidRPr="00034BDD">
        <w:rPr>
          <w:sz w:val="20"/>
          <w:szCs w:val="20"/>
        </w:rPr>
        <w:t xml:space="preserve"> zde </w:t>
      </w:r>
      <w:r w:rsidR="00176278" w:rsidRPr="00034BDD">
        <w:rPr>
          <w:sz w:val="20"/>
          <w:szCs w:val="20"/>
        </w:rPr>
        <w:t>vyskytuje</w:t>
      </w:r>
      <w:r w:rsidR="004A0FBA" w:rsidRPr="00034BDD">
        <w:rPr>
          <w:sz w:val="20"/>
          <w:szCs w:val="20"/>
        </w:rPr>
        <w:t xml:space="preserve"> několik kusů labutí, hus a kachen. Celý areál je oplocen.</w:t>
      </w:r>
      <w:r w:rsidR="00AF1F2C" w:rsidRPr="00034BDD">
        <w:rPr>
          <w:sz w:val="20"/>
          <w:szCs w:val="20"/>
        </w:rPr>
        <w:t xml:space="preserve"> V době úhynu se zde vyskytovaly tyto druhy ryb: štika obecná, bolen dravý, candát obecný, jeseter velký, kapr obecný, lín obecný</w:t>
      </w:r>
      <w:r w:rsidR="00FA7546" w:rsidRPr="00034BDD">
        <w:rPr>
          <w:sz w:val="20"/>
          <w:szCs w:val="20"/>
        </w:rPr>
        <w:t xml:space="preserve">, </w:t>
      </w:r>
      <w:proofErr w:type="spellStart"/>
      <w:r w:rsidR="00FA7546" w:rsidRPr="00034BDD">
        <w:rPr>
          <w:sz w:val="20"/>
          <w:szCs w:val="20"/>
        </w:rPr>
        <w:t>amur</w:t>
      </w:r>
      <w:proofErr w:type="spellEnd"/>
      <w:r w:rsidR="00FA7546" w:rsidRPr="00034BDD">
        <w:rPr>
          <w:sz w:val="20"/>
          <w:szCs w:val="20"/>
        </w:rPr>
        <w:t xml:space="preserve"> bílý</w:t>
      </w:r>
      <w:r w:rsidR="00AF1F2C" w:rsidRPr="00034BDD">
        <w:rPr>
          <w:sz w:val="20"/>
          <w:szCs w:val="20"/>
        </w:rPr>
        <w:t xml:space="preserve"> a karas obecný. Ryby jsou pravidelně v malém množství přikrmovány namočeným obilím. </w:t>
      </w:r>
      <w:r w:rsidR="00C124E3" w:rsidRPr="00034BDD">
        <w:rPr>
          <w:sz w:val="20"/>
          <w:szCs w:val="20"/>
        </w:rPr>
        <w:t>Původ ryb</w:t>
      </w:r>
      <w:r w:rsidR="00AF1F2C" w:rsidRPr="00034BDD">
        <w:rPr>
          <w:sz w:val="20"/>
          <w:szCs w:val="20"/>
        </w:rPr>
        <w:t xml:space="preserve"> </w:t>
      </w:r>
      <w:r w:rsidR="00C124E3" w:rsidRPr="00034BDD">
        <w:rPr>
          <w:sz w:val="20"/>
          <w:szCs w:val="20"/>
        </w:rPr>
        <w:t>je</w:t>
      </w:r>
      <w:r w:rsidR="00176278" w:rsidRPr="00034BDD">
        <w:rPr>
          <w:sz w:val="20"/>
          <w:szCs w:val="20"/>
        </w:rPr>
        <w:t> Rybníkářství</w:t>
      </w:r>
      <w:r w:rsidR="00AF1F2C" w:rsidRPr="00034BDD">
        <w:rPr>
          <w:sz w:val="20"/>
          <w:szCs w:val="20"/>
        </w:rPr>
        <w:t xml:space="preserve"> Pohořelice.</w:t>
      </w:r>
      <w:r w:rsidR="00FA7546" w:rsidRPr="00034BDD">
        <w:rPr>
          <w:sz w:val="20"/>
          <w:szCs w:val="20"/>
        </w:rPr>
        <w:t xml:space="preserve"> V okolí rybníků se nachází několik různých druhů stromů a travnatá plocha, které jsou pravidelně udržovány.</w:t>
      </w:r>
    </w:p>
    <w:p w:rsidR="002B54DE" w:rsidRPr="00034BDD" w:rsidRDefault="002B54DE" w:rsidP="00C124E3">
      <w:pPr>
        <w:spacing w:after="0" w:line="240" w:lineRule="auto"/>
        <w:jc w:val="both"/>
        <w:rPr>
          <w:sz w:val="20"/>
          <w:szCs w:val="20"/>
        </w:rPr>
      </w:pPr>
    </w:p>
    <w:p w:rsidR="00AA3B93" w:rsidRPr="00034BDD" w:rsidRDefault="004A0FBA" w:rsidP="00C124E3">
      <w:pPr>
        <w:spacing w:after="0" w:line="240" w:lineRule="auto"/>
        <w:jc w:val="both"/>
        <w:rPr>
          <w:sz w:val="20"/>
          <w:szCs w:val="20"/>
        </w:rPr>
      </w:pPr>
      <w:r w:rsidRPr="00034BDD">
        <w:rPr>
          <w:sz w:val="20"/>
          <w:szCs w:val="20"/>
        </w:rPr>
        <w:t xml:space="preserve"> </w:t>
      </w:r>
    </w:p>
    <w:p w:rsidR="00FE128B" w:rsidRPr="00034BDD" w:rsidRDefault="00AA3B93" w:rsidP="00C124E3">
      <w:pPr>
        <w:spacing w:after="0" w:line="240" w:lineRule="auto"/>
        <w:jc w:val="both"/>
        <w:rPr>
          <w:sz w:val="20"/>
          <w:szCs w:val="20"/>
        </w:rPr>
      </w:pPr>
      <w:r w:rsidRPr="00034BDD">
        <w:rPr>
          <w:sz w:val="20"/>
          <w:szCs w:val="20"/>
        </w:rPr>
        <w:t xml:space="preserve">Dne 20. října 2014 ráno byly při náhodné kontrole pozorovány první uhynulé ryby, jednalo se o štiky obecné. Zároveň majitelé pozorovali kapry u hladiny, lapající po dechu a další štiky apaticky plující u břehu. Kamenné břehy rybníku, které jsou normálně potažené zeleným nánosem, měly hnědou barvu. Problém se týkal pouze většího rybníku, na menším nebyly pozorovány žádné abnormality ani úhyny. Majitelé okamžitě změřili koncentraci kyslíku ve vodě. V menším rybníce byla naměřena koncentrace kyslíku 12-15 mg/l, ve větším kritická hodnota 0,3 mg/l. </w:t>
      </w:r>
      <w:r w:rsidR="00601E79" w:rsidRPr="00034BDD">
        <w:rPr>
          <w:sz w:val="20"/>
          <w:szCs w:val="20"/>
        </w:rPr>
        <w:t>Byly odebrány vzorky vody z obou rybníků a byly zaslány do laboratoře Brněnských kanalizací a vodáren s požadavkem vyšetření fyzikálně-chemických parametrů vody. Výsledky jsou zo</w:t>
      </w:r>
      <w:r w:rsidR="00C124E3" w:rsidRPr="00034BDD">
        <w:rPr>
          <w:sz w:val="20"/>
          <w:szCs w:val="20"/>
        </w:rPr>
        <w:t xml:space="preserve">brazeny v Tabulce 1. </w:t>
      </w:r>
      <w:r w:rsidR="00752D5E" w:rsidRPr="00034BDD">
        <w:rPr>
          <w:sz w:val="20"/>
          <w:szCs w:val="20"/>
        </w:rPr>
        <w:t>Jako</w:t>
      </w:r>
      <w:r w:rsidR="00FA7546" w:rsidRPr="00034BDD">
        <w:rPr>
          <w:sz w:val="20"/>
          <w:szCs w:val="20"/>
        </w:rPr>
        <w:t xml:space="preserve"> okamžité </w:t>
      </w:r>
      <w:r w:rsidR="00752D5E" w:rsidRPr="00034BDD">
        <w:rPr>
          <w:sz w:val="20"/>
          <w:szCs w:val="20"/>
        </w:rPr>
        <w:t>opatření pro</w:t>
      </w:r>
      <w:r w:rsidR="00FA7546" w:rsidRPr="00034BDD">
        <w:rPr>
          <w:sz w:val="20"/>
          <w:szCs w:val="20"/>
        </w:rPr>
        <w:t xml:space="preserve"> zvýšení obsahu kyslíku ve větším</w:t>
      </w:r>
      <w:r w:rsidR="00752D5E" w:rsidRPr="00034BDD">
        <w:rPr>
          <w:sz w:val="20"/>
          <w:szCs w:val="20"/>
        </w:rPr>
        <w:t xml:space="preserve"> rybníce</w:t>
      </w:r>
      <w:r w:rsidR="00176278" w:rsidRPr="00034BDD">
        <w:rPr>
          <w:sz w:val="20"/>
          <w:szCs w:val="20"/>
        </w:rPr>
        <w:t xml:space="preserve"> byl zvýšen přítok vody z menšího rybníka</w:t>
      </w:r>
      <w:r w:rsidR="00FA7546" w:rsidRPr="00034BDD">
        <w:rPr>
          <w:sz w:val="20"/>
          <w:szCs w:val="20"/>
        </w:rPr>
        <w:t>. Zároveň bylo upraveno přečerpávání vody tak, aby docházelo k le</w:t>
      </w:r>
      <w:r w:rsidR="00176278" w:rsidRPr="00034BDD">
        <w:rPr>
          <w:sz w:val="20"/>
          <w:szCs w:val="20"/>
        </w:rPr>
        <w:t>pšímu prokysličování vody a byla zapojena</w:t>
      </w:r>
      <w:r w:rsidR="00FA7546" w:rsidRPr="00034BDD">
        <w:rPr>
          <w:sz w:val="20"/>
          <w:szCs w:val="20"/>
        </w:rPr>
        <w:t xml:space="preserve"> i dmýchadla. Ještě ten stejný den večer už nebyli pozorováni kapři u hladiny, nicméně k hladině postupně vyplavávaly mrtvé kusy dravých druhů ryb.</w:t>
      </w:r>
      <w:r w:rsidR="00601E79" w:rsidRPr="00034BDD">
        <w:rPr>
          <w:sz w:val="20"/>
          <w:szCs w:val="20"/>
        </w:rPr>
        <w:t xml:space="preserve"> </w:t>
      </w:r>
      <w:r w:rsidR="00FA7546" w:rsidRPr="00034BDD">
        <w:rPr>
          <w:sz w:val="20"/>
          <w:szCs w:val="20"/>
        </w:rPr>
        <w:t xml:space="preserve">V následujících 7 dnech došlo k úhynu v podstatě celé obsádky všech druhů dravých ryb. </w:t>
      </w:r>
      <w:r w:rsidR="00601E79" w:rsidRPr="00034BDD">
        <w:rPr>
          <w:sz w:val="20"/>
          <w:szCs w:val="20"/>
        </w:rPr>
        <w:t>Větší rybník byl postupně vypuštěn o 35 c</w:t>
      </w:r>
      <w:r w:rsidR="00176278" w:rsidRPr="00034BDD">
        <w:rPr>
          <w:sz w:val="20"/>
          <w:szCs w:val="20"/>
        </w:rPr>
        <w:t>m a doplněn vodou z menšího rybníka</w:t>
      </w:r>
      <w:r w:rsidR="00601E79" w:rsidRPr="00034BDD">
        <w:rPr>
          <w:sz w:val="20"/>
          <w:szCs w:val="20"/>
        </w:rPr>
        <w:t xml:space="preserve">. </w:t>
      </w:r>
      <w:r w:rsidR="00FE128B" w:rsidRPr="00034BDD">
        <w:rPr>
          <w:sz w:val="20"/>
          <w:szCs w:val="20"/>
        </w:rPr>
        <w:t>Provzdušňováním a neu</w:t>
      </w:r>
      <w:r w:rsidR="00601E79" w:rsidRPr="00034BDD">
        <w:rPr>
          <w:sz w:val="20"/>
          <w:szCs w:val="20"/>
        </w:rPr>
        <w:t>stálým doplňováním vody ve větším</w:t>
      </w:r>
      <w:r w:rsidR="00FE128B" w:rsidRPr="00034BDD">
        <w:rPr>
          <w:sz w:val="20"/>
          <w:szCs w:val="20"/>
        </w:rPr>
        <w:t xml:space="preserve"> rybníce se </w:t>
      </w:r>
      <w:r w:rsidR="00601E79" w:rsidRPr="00034BDD">
        <w:rPr>
          <w:sz w:val="20"/>
          <w:szCs w:val="20"/>
        </w:rPr>
        <w:t xml:space="preserve">zde </w:t>
      </w:r>
      <w:r w:rsidR="006D7B32" w:rsidRPr="00034BDD">
        <w:rPr>
          <w:sz w:val="20"/>
          <w:szCs w:val="20"/>
        </w:rPr>
        <w:t>podařilo zvýšit koncentraci</w:t>
      </w:r>
      <w:r w:rsidR="00FE128B" w:rsidRPr="00034BDD">
        <w:rPr>
          <w:sz w:val="20"/>
          <w:szCs w:val="20"/>
        </w:rPr>
        <w:t xml:space="preserve"> kyslíku na 3,2-4,6 mg/l.</w:t>
      </w:r>
    </w:p>
    <w:p w:rsidR="00207393" w:rsidRPr="00034BDD" w:rsidRDefault="00207393" w:rsidP="00C124E3">
      <w:pPr>
        <w:spacing w:after="0" w:line="240" w:lineRule="auto"/>
        <w:jc w:val="both"/>
        <w:rPr>
          <w:sz w:val="20"/>
          <w:szCs w:val="20"/>
        </w:rPr>
      </w:pPr>
    </w:p>
    <w:p w:rsidR="00A978C0" w:rsidRPr="00034BDD" w:rsidRDefault="00601E79" w:rsidP="00C124E3">
      <w:pPr>
        <w:spacing w:after="0" w:line="240" w:lineRule="auto"/>
        <w:jc w:val="both"/>
        <w:rPr>
          <w:sz w:val="20"/>
          <w:szCs w:val="20"/>
        </w:rPr>
      </w:pPr>
      <w:r w:rsidRPr="00034BDD">
        <w:rPr>
          <w:sz w:val="20"/>
          <w:szCs w:val="20"/>
        </w:rPr>
        <w:t xml:space="preserve">Úhynům nepředcházel žádný výrazný zásah do ekosystému rybníků, pouze před 14 dny byly oba rybníky vápněny chloraminem v doporučené dávce, stejně jako v minulých letech a došlo k ořezu některých stromů na březích. Ryby byly kontrolovány naposledy 18. </w:t>
      </w:r>
      <w:r w:rsidR="00207393" w:rsidRPr="00034BDD">
        <w:rPr>
          <w:sz w:val="20"/>
          <w:szCs w:val="20"/>
        </w:rPr>
        <w:t>10.</w:t>
      </w:r>
      <w:r w:rsidRPr="00034BDD">
        <w:rPr>
          <w:sz w:val="20"/>
          <w:szCs w:val="20"/>
        </w:rPr>
        <w:t xml:space="preserve"> 2014, kdy se majitelům zdálo, že méně přijímají nabízenou potravu. Incidentu nepředcházela ani žádná výrazná změna počasí</w:t>
      </w:r>
      <w:r w:rsidR="00F56CC9" w:rsidRPr="00034BDD">
        <w:rPr>
          <w:sz w:val="20"/>
          <w:szCs w:val="20"/>
        </w:rPr>
        <w:t>.</w:t>
      </w:r>
    </w:p>
    <w:p w:rsidR="00207393" w:rsidRPr="00034BDD" w:rsidRDefault="00207393" w:rsidP="00C124E3">
      <w:pPr>
        <w:spacing w:after="0" w:line="240" w:lineRule="auto"/>
        <w:jc w:val="both"/>
        <w:rPr>
          <w:sz w:val="20"/>
          <w:szCs w:val="20"/>
        </w:rPr>
      </w:pPr>
    </w:p>
    <w:p w:rsidR="00A978C0" w:rsidRPr="00034BDD" w:rsidRDefault="00A978C0" w:rsidP="00C124E3">
      <w:pPr>
        <w:spacing w:after="0" w:line="240" w:lineRule="auto"/>
        <w:jc w:val="both"/>
        <w:rPr>
          <w:sz w:val="20"/>
          <w:szCs w:val="20"/>
        </w:rPr>
      </w:pPr>
      <w:r w:rsidRPr="00034BDD">
        <w:rPr>
          <w:sz w:val="20"/>
          <w:szCs w:val="20"/>
        </w:rPr>
        <w:t>Tabulka 1 – Výsledky fyzikálně-chemického vyšetření vody z</w:t>
      </w:r>
      <w:r w:rsidR="00FE128B" w:rsidRPr="00034BDD">
        <w:rPr>
          <w:sz w:val="20"/>
          <w:szCs w:val="20"/>
        </w:rPr>
        <w:t xml:space="preserve"> obou</w:t>
      </w:r>
      <w:r w:rsidRPr="00034BDD">
        <w:rPr>
          <w:sz w:val="20"/>
          <w:szCs w:val="20"/>
        </w:rPr>
        <w:t> </w:t>
      </w:r>
      <w:r w:rsidR="00FE128B" w:rsidRPr="00034BDD">
        <w:rPr>
          <w:sz w:val="20"/>
          <w:szCs w:val="20"/>
        </w:rPr>
        <w:t>rybníků.</w:t>
      </w:r>
    </w:p>
    <w:p w:rsidR="00207393" w:rsidRPr="00034BDD" w:rsidRDefault="00207393" w:rsidP="00C124E3">
      <w:pPr>
        <w:spacing w:after="0" w:line="240" w:lineRule="auto"/>
        <w:jc w:val="both"/>
        <w:rPr>
          <w:sz w:val="20"/>
          <w:szCs w:val="20"/>
        </w:rPr>
      </w:pPr>
    </w:p>
    <w:tbl>
      <w:tblPr>
        <w:tblW w:w="8603" w:type="dxa"/>
        <w:tblCellMar>
          <w:left w:w="70" w:type="dxa"/>
          <w:right w:w="70" w:type="dxa"/>
        </w:tblCellMar>
        <w:tblLook w:val="04A0" w:firstRow="1" w:lastRow="0" w:firstColumn="1" w:lastColumn="0" w:noHBand="0" w:noVBand="1"/>
      </w:tblPr>
      <w:tblGrid>
        <w:gridCol w:w="3843"/>
        <w:gridCol w:w="2380"/>
        <w:gridCol w:w="2380"/>
      </w:tblGrid>
      <w:tr w:rsidR="006D7B32" w:rsidRPr="00034BDD" w:rsidTr="00B71F51">
        <w:trPr>
          <w:trHeight w:val="201"/>
        </w:trPr>
        <w:tc>
          <w:tcPr>
            <w:tcW w:w="3843" w:type="dxa"/>
            <w:tcBorders>
              <w:top w:val="single" w:sz="8" w:space="0" w:color="auto"/>
              <w:left w:val="nil"/>
              <w:bottom w:val="single" w:sz="8" w:space="0" w:color="auto"/>
              <w:right w:val="nil"/>
            </w:tcBorders>
            <w:shd w:val="clear" w:color="000000" w:fill="BFBFBF"/>
            <w:noWrap/>
            <w:vAlign w:val="center"/>
            <w:hideMark/>
          </w:tcPr>
          <w:p w:rsidR="00A978C0" w:rsidRPr="00034BDD" w:rsidRDefault="00A978C0" w:rsidP="00C124E3">
            <w:pPr>
              <w:spacing w:after="0" w:line="240" w:lineRule="auto"/>
              <w:rPr>
                <w:rFonts w:eastAsia="Times New Roman" w:cs="Times New Roman"/>
                <w:color w:val="000000"/>
                <w:sz w:val="20"/>
                <w:szCs w:val="20"/>
                <w:lang w:eastAsia="cs-CZ"/>
              </w:rPr>
            </w:pPr>
            <w:r w:rsidRPr="00034BDD">
              <w:rPr>
                <w:rFonts w:eastAsia="Times New Roman" w:cs="Times New Roman"/>
                <w:color w:val="000000"/>
                <w:sz w:val="20"/>
                <w:szCs w:val="20"/>
                <w:lang w:eastAsia="cs-CZ"/>
              </w:rPr>
              <w:t>Ukazatel</w:t>
            </w:r>
          </w:p>
        </w:tc>
        <w:tc>
          <w:tcPr>
            <w:tcW w:w="2380" w:type="dxa"/>
            <w:tcBorders>
              <w:top w:val="single" w:sz="8" w:space="0" w:color="auto"/>
              <w:left w:val="nil"/>
              <w:bottom w:val="single" w:sz="8" w:space="0" w:color="auto"/>
              <w:right w:val="nil"/>
            </w:tcBorders>
            <w:shd w:val="clear" w:color="000000" w:fill="BFBFBF"/>
            <w:noWrap/>
            <w:vAlign w:val="center"/>
            <w:hideMark/>
          </w:tcPr>
          <w:p w:rsidR="00A978C0" w:rsidRPr="00034BDD" w:rsidRDefault="00FA4ADD" w:rsidP="00C124E3">
            <w:pPr>
              <w:spacing w:after="0" w:line="240" w:lineRule="auto"/>
              <w:jc w:val="center"/>
              <w:rPr>
                <w:rFonts w:eastAsia="Times New Roman" w:cs="Times New Roman"/>
                <w:color w:val="000000"/>
                <w:sz w:val="20"/>
                <w:szCs w:val="20"/>
                <w:lang w:eastAsia="cs-CZ"/>
              </w:rPr>
            </w:pPr>
            <w:r w:rsidRPr="00034BDD">
              <w:rPr>
                <w:rFonts w:eastAsia="Times New Roman" w:cs="Times New Roman"/>
                <w:color w:val="000000"/>
                <w:sz w:val="20"/>
                <w:szCs w:val="20"/>
                <w:lang w:eastAsia="cs-CZ"/>
              </w:rPr>
              <w:t>Větší</w:t>
            </w:r>
            <w:r w:rsidR="00FE128B" w:rsidRPr="00034BDD">
              <w:rPr>
                <w:rFonts w:eastAsia="Times New Roman" w:cs="Times New Roman"/>
                <w:color w:val="000000"/>
                <w:sz w:val="20"/>
                <w:szCs w:val="20"/>
                <w:lang w:eastAsia="cs-CZ"/>
              </w:rPr>
              <w:t xml:space="preserve"> rybník</w:t>
            </w:r>
            <w:r w:rsidR="009504D5" w:rsidRPr="00034BDD">
              <w:rPr>
                <w:rFonts w:eastAsia="Times New Roman" w:cs="Times New Roman"/>
                <w:color w:val="000000"/>
                <w:sz w:val="20"/>
                <w:szCs w:val="20"/>
                <w:lang w:eastAsia="cs-CZ"/>
              </w:rPr>
              <w:t xml:space="preserve"> </w:t>
            </w:r>
          </w:p>
        </w:tc>
        <w:tc>
          <w:tcPr>
            <w:tcW w:w="2380" w:type="dxa"/>
            <w:tcBorders>
              <w:top w:val="single" w:sz="8" w:space="0" w:color="auto"/>
              <w:left w:val="nil"/>
              <w:bottom w:val="single" w:sz="8" w:space="0" w:color="auto"/>
              <w:right w:val="nil"/>
            </w:tcBorders>
            <w:shd w:val="clear" w:color="000000" w:fill="BFBFBF"/>
            <w:noWrap/>
            <w:vAlign w:val="center"/>
            <w:hideMark/>
          </w:tcPr>
          <w:p w:rsidR="00A978C0" w:rsidRPr="00034BDD" w:rsidRDefault="00FA4ADD" w:rsidP="00C124E3">
            <w:pPr>
              <w:spacing w:after="0" w:line="240" w:lineRule="auto"/>
              <w:jc w:val="center"/>
              <w:rPr>
                <w:rFonts w:eastAsia="Times New Roman" w:cs="Times New Roman"/>
                <w:color w:val="000000"/>
                <w:sz w:val="20"/>
                <w:szCs w:val="20"/>
                <w:lang w:eastAsia="cs-CZ"/>
              </w:rPr>
            </w:pPr>
            <w:r w:rsidRPr="00034BDD">
              <w:rPr>
                <w:rFonts w:eastAsia="Times New Roman" w:cs="Times New Roman"/>
                <w:color w:val="000000"/>
                <w:sz w:val="20"/>
                <w:szCs w:val="20"/>
                <w:lang w:eastAsia="cs-CZ"/>
              </w:rPr>
              <w:t>Menší</w:t>
            </w:r>
            <w:r w:rsidR="00FE128B" w:rsidRPr="00034BDD">
              <w:rPr>
                <w:rFonts w:eastAsia="Times New Roman" w:cs="Times New Roman"/>
                <w:color w:val="000000"/>
                <w:sz w:val="20"/>
                <w:szCs w:val="20"/>
                <w:lang w:eastAsia="cs-CZ"/>
              </w:rPr>
              <w:t xml:space="preserve"> rybník</w:t>
            </w:r>
          </w:p>
        </w:tc>
      </w:tr>
      <w:tr w:rsidR="006D7B32" w:rsidRPr="00034BDD" w:rsidTr="00B71F51">
        <w:trPr>
          <w:trHeight w:val="201"/>
        </w:trPr>
        <w:tc>
          <w:tcPr>
            <w:tcW w:w="3843" w:type="dxa"/>
            <w:tcBorders>
              <w:top w:val="nil"/>
              <w:left w:val="nil"/>
              <w:bottom w:val="single" w:sz="4" w:space="0" w:color="auto"/>
              <w:right w:val="nil"/>
            </w:tcBorders>
            <w:shd w:val="clear" w:color="auto" w:fill="auto"/>
            <w:noWrap/>
            <w:vAlign w:val="center"/>
            <w:hideMark/>
          </w:tcPr>
          <w:p w:rsidR="00A978C0" w:rsidRPr="00034BDD" w:rsidRDefault="00A978C0" w:rsidP="00C124E3">
            <w:pPr>
              <w:spacing w:after="0" w:line="240" w:lineRule="auto"/>
              <w:rPr>
                <w:rFonts w:eastAsia="Times New Roman" w:cs="Times New Roman"/>
                <w:color w:val="000000"/>
                <w:sz w:val="20"/>
                <w:szCs w:val="20"/>
                <w:lang w:eastAsia="cs-CZ"/>
              </w:rPr>
            </w:pPr>
            <w:r w:rsidRPr="00034BDD">
              <w:rPr>
                <w:rFonts w:eastAsia="Times New Roman" w:cs="Times New Roman"/>
                <w:color w:val="000000"/>
                <w:sz w:val="20"/>
                <w:szCs w:val="20"/>
                <w:lang w:eastAsia="cs-CZ"/>
              </w:rPr>
              <w:t>BSK</w:t>
            </w:r>
            <w:r w:rsidRPr="00034BDD">
              <w:rPr>
                <w:rFonts w:eastAsia="Times New Roman" w:cs="Times New Roman"/>
                <w:color w:val="000000"/>
                <w:sz w:val="20"/>
                <w:szCs w:val="20"/>
                <w:vertAlign w:val="subscript"/>
                <w:lang w:eastAsia="cs-CZ"/>
              </w:rPr>
              <w:t xml:space="preserve">5 </w:t>
            </w:r>
            <w:r w:rsidRPr="00034BDD">
              <w:rPr>
                <w:rFonts w:eastAsia="Times New Roman" w:cs="Times New Roman"/>
                <w:color w:val="000000"/>
                <w:sz w:val="20"/>
                <w:szCs w:val="20"/>
                <w:lang w:eastAsia="cs-CZ"/>
              </w:rPr>
              <w:t>(mg/l)</w:t>
            </w:r>
          </w:p>
        </w:tc>
        <w:tc>
          <w:tcPr>
            <w:tcW w:w="2380" w:type="dxa"/>
            <w:tcBorders>
              <w:top w:val="nil"/>
              <w:left w:val="nil"/>
              <w:bottom w:val="single" w:sz="4" w:space="0" w:color="auto"/>
              <w:right w:val="nil"/>
            </w:tcBorders>
            <w:shd w:val="clear" w:color="auto" w:fill="auto"/>
            <w:noWrap/>
            <w:vAlign w:val="center"/>
            <w:hideMark/>
          </w:tcPr>
          <w:p w:rsidR="00A978C0" w:rsidRPr="00034BDD" w:rsidRDefault="00A978C0" w:rsidP="00C124E3">
            <w:pPr>
              <w:spacing w:after="0" w:line="240" w:lineRule="auto"/>
              <w:jc w:val="center"/>
              <w:rPr>
                <w:rFonts w:eastAsia="Times New Roman" w:cs="Times New Roman"/>
                <w:color w:val="000000"/>
                <w:sz w:val="20"/>
                <w:szCs w:val="20"/>
                <w:lang w:eastAsia="cs-CZ"/>
              </w:rPr>
            </w:pPr>
            <w:r w:rsidRPr="00034BDD">
              <w:rPr>
                <w:rFonts w:eastAsia="Times New Roman" w:cs="Times New Roman"/>
                <w:color w:val="000000"/>
                <w:sz w:val="20"/>
                <w:szCs w:val="20"/>
                <w:lang w:eastAsia="cs-CZ"/>
              </w:rPr>
              <w:t>23</w:t>
            </w:r>
          </w:p>
        </w:tc>
        <w:tc>
          <w:tcPr>
            <w:tcW w:w="2380" w:type="dxa"/>
            <w:tcBorders>
              <w:top w:val="nil"/>
              <w:left w:val="nil"/>
              <w:bottom w:val="single" w:sz="4" w:space="0" w:color="auto"/>
              <w:right w:val="nil"/>
            </w:tcBorders>
            <w:shd w:val="clear" w:color="auto" w:fill="auto"/>
            <w:noWrap/>
            <w:vAlign w:val="center"/>
            <w:hideMark/>
          </w:tcPr>
          <w:p w:rsidR="00A978C0" w:rsidRPr="00034BDD" w:rsidRDefault="00A978C0" w:rsidP="00C124E3">
            <w:pPr>
              <w:spacing w:after="0" w:line="240" w:lineRule="auto"/>
              <w:jc w:val="center"/>
              <w:rPr>
                <w:rFonts w:eastAsia="Times New Roman" w:cs="Times New Roman"/>
                <w:color w:val="000000"/>
                <w:sz w:val="20"/>
                <w:szCs w:val="20"/>
                <w:lang w:eastAsia="cs-CZ"/>
              </w:rPr>
            </w:pPr>
            <w:r w:rsidRPr="00034BDD">
              <w:rPr>
                <w:rFonts w:eastAsia="Times New Roman" w:cs="Times New Roman"/>
                <w:color w:val="000000"/>
                <w:sz w:val="20"/>
                <w:szCs w:val="20"/>
                <w:lang w:eastAsia="cs-CZ"/>
              </w:rPr>
              <w:t>12</w:t>
            </w:r>
          </w:p>
        </w:tc>
      </w:tr>
      <w:tr w:rsidR="006D7B32" w:rsidRPr="00034BDD" w:rsidTr="00B71F51">
        <w:trPr>
          <w:trHeight w:val="201"/>
        </w:trPr>
        <w:tc>
          <w:tcPr>
            <w:tcW w:w="3843" w:type="dxa"/>
            <w:tcBorders>
              <w:top w:val="nil"/>
              <w:left w:val="nil"/>
              <w:bottom w:val="single" w:sz="4" w:space="0" w:color="auto"/>
              <w:right w:val="nil"/>
            </w:tcBorders>
            <w:shd w:val="clear" w:color="auto" w:fill="auto"/>
            <w:noWrap/>
            <w:vAlign w:val="center"/>
            <w:hideMark/>
          </w:tcPr>
          <w:p w:rsidR="00A978C0" w:rsidRPr="00034BDD" w:rsidRDefault="00A978C0" w:rsidP="00C124E3">
            <w:pPr>
              <w:spacing w:after="0" w:line="240" w:lineRule="auto"/>
              <w:rPr>
                <w:rFonts w:eastAsia="Times New Roman" w:cs="Times New Roman"/>
                <w:color w:val="000000"/>
                <w:sz w:val="20"/>
                <w:szCs w:val="20"/>
                <w:lang w:eastAsia="cs-CZ"/>
              </w:rPr>
            </w:pPr>
            <w:proofErr w:type="spellStart"/>
            <w:r w:rsidRPr="00034BDD">
              <w:rPr>
                <w:rFonts w:eastAsia="Times New Roman" w:cs="Times New Roman"/>
                <w:color w:val="000000"/>
                <w:sz w:val="20"/>
                <w:szCs w:val="20"/>
                <w:lang w:eastAsia="cs-CZ"/>
              </w:rPr>
              <w:t>CHSK</w:t>
            </w:r>
            <w:r w:rsidRPr="00034BDD">
              <w:rPr>
                <w:rFonts w:eastAsia="Times New Roman" w:cs="Times New Roman"/>
                <w:color w:val="000000"/>
                <w:sz w:val="20"/>
                <w:szCs w:val="20"/>
                <w:vertAlign w:val="subscript"/>
                <w:lang w:eastAsia="cs-CZ"/>
              </w:rPr>
              <w:t>Cr</w:t>
            </w:r>
            <w:proofErr w:type="spellEnd"/>
            <w:r w:rsidRPr="00034BDD">
              <w:rPr>
                <w:rFonts w:eastAsia="Times New Roman" w:cs="Times New Roman"/>
                <w:color w:val="000000"/>
                <w:sz w:val="20"/>
                <w:szCs w:val="20"/>
                <w:lang w:eastAsia="cs-CZ"/>
              </w:rPr>
              <w:t xml:space="preserve"> (mg/l)</w:t>
            </w:r>
          </w:p>
        </w:tc>
        <w:tc>
          <w:tcPr>
            <w:tcW w:w="2380" w:type="dxa"/>
            <w:tcBorders>
              <w:top w:val="nil"/>
              <w:left w:val="nil"/>
              <w:bottom w:val="single" w:sz="4" w:space="0" w:color="auto"/>
              <w:right w:val="nil"/>
            </w:tcBorders>
            <w:shd w:val="clear" w:color="auto" w:fill="auto"/>
            <w:noWrap/>
            <w:vAlign w:val="center"/>
            <w:hideMark/>
          </w:tcPr>
          <w:p w:rsidR="00A978C0" w:rsidRPr="00034BDD" w:rsidRDefault="00A978C0" w:rsidP="00C124E3">
            <w:pPr>
              <w:spacing w:after="0" w:line="240" w:lineRule="auto"/>
              <w:jc w:val="center"/>
              <w:rPr>
                <w:rFonts w:eastAsia="Times New Roman" w:cs="Times New Roman"/>
                <w:color w:val="000000"/>
                <w:sz w:val="20"/>
                <w:szCs w:val="20"/>
                <w:lang w:eastAsia="cs-CZ"/>
              </w:rPr>
            </w:pPr>
            <w:r w:rsidRPr="00034BDD">
              <w:rPr>
                <w:rFonts w:eastAsia="Times New Roman" w:cs="Times New Roman"/>
                <w:color w:val="000000"/>
                <w:sz w:val="20"/>
                <w:szCs w:val="20"/>
                <w:lang w:eastAsia="cs-CZ"/>
              </w:rPr>
              <w:t>60</w:t>
            </w:r>
          </w:p>
        </w:tc>
        <w:tc>
          <w:tcPr>
            <w:tcW w:w="2380" w:type="dxa"/>
            <w:tcBorders>
              <w:top w:val="nil"/>
              <w:left w:val="nil"/>
              <w:bottom w:val="single" w:sz="4" w:space="0" w:color="auto"/>
              <w:right w:val="nil"/>
            </w:tcBorders>
            <w:shd w:val="clear" w:color="auto" w:fill="auto"/>
            <w:noWrap/>
            <w:vAlign w:val="center"/>
            <w:hideMark/>
          </w:tcPr>
          <w:p w:rsidR="00A978C0" w:rsidRPr="00034BDD" w:rsidRDefault="00A978C0" w:rsidP="00C124E3">
            <w:pPr>
              <w:spacing w:after="0" w:line="240" w:lineRule="auto"/>
              <w:jc w:val="center"/>
              <w:rPr>
                <w:rFonts w:eastAsia="Times New Roman" w:cs="Times New Roman"/>
                <w:color w:val="000000"/>
                <w:sz w:val="20"/>
                <w:szCs w:val="20"/>
                <w:lang w:eastAsia="cs-CZ"/>
              </w:rPr>
            </w:pPr>
            <w:r w:rsidRPr="00034BDD">
              <w:rPr>
                <w:rFonts w:eastAsia="Times New Roman" w:cs="Times New Roman"/>
                <w:color w:val="000000"/>
                <w:sz w:val="20"/>
                <w:szCs w:val="20"/>
                <w:lang w:eastAsia="cs-CZ"/>
              </w:rPr>
              <w:t>51</w:t>
            </w:r>
          </w:p>
        </w:tc>
      </w:tr>
      <w:tr w:rsidR="006D7B32" w:rsidRPr="00034BDD" w:rsidTr="00B71F51">
        <w:trPr>
          <w:trHeight w:val="201"/>
        </w:trPr>
        <w:tc>
          <w:tcPr>
            <w:tcW w:w="3843" w:type="dxa"/>
            <w:tcBorders>
              <w:top w:val="nil"/>
              <w:left w:val="nil"/>
              <w:bottom w:val="single" w:sz="4" w:space="0" w:color="auto"/>
              <w:right w:val="nil"/>
            </w:tcBorders>
            <w:shd w:val="clear" w:color="auto" w:fill="auto"/>
            <w:noWrap/>
            <w:vAlign w:val="center"/>
            <w:hideMark/>
          </w:tcPr>
          <w:p w:rsidR="00A978C0" w:rsidRPr="00034BDD" w:rsidRDefault="00A978C0" w:rsidP="00C124E3">
            <w:pPr>
              <w:spacing w:after="0" w:line="240" w:lineRule="auto"/>
              <w:rPr>
                <w:rFonts w:eastAsia="Times New Roman" w:cs="Times New Roman"/>
                <w:color w:val="000000"/>
                <w:sz w:val="20"/>
                <w:szCs w:val="20"/>
                <w:lang w:eastAsia="cs-CZ"/>
              </w:rPr>
            </w:pPr>
            <w:r w:rsidRPr="00034BDD">
              <w:rPr>
                <w:rFonts w:eastAsia="Times New Roman" w:cs="Times New Roman"/>
                <w:color w:val="000000"/>
                <w:sz w:val="20"/>
                <w:szCs w:val="20"/>
                <w:lang w:eastAsia="cs-CZ"/>
              </w:rPr>
              <w:t>pH</w:t>
            </w:r>
          </w:p>
        </w:tc>
        <w:tc>
          <w:tcPr>
            <w:tcW w:w="2380" w:type="dxa"/>
            <w:tcBorders>
              <w:top w:val="nil"/>
              <w:left w:val="nil"/>
              <w:bottom w:val="single" w:sz="4" w:space="0" w:color="auto"/>
              <w:right w:val="nil"/>
            </w:tcBorders>
            <w:shd w:val="clear" w:color="auto" w:fill="auto"/>
            <w:noWrap/>
            <w:vAlign w:val="center"/>
            <w:hideMark/>
          </w:tcPr>
          <w:p w:rsidR="00A978C0" w:rsidRPr="00034BDD" w:rsidRDefault="00A978C0" w:rsidP="00C124E3">
            <w:pPr>
              <w:spacing w:after="0" w:line="240" w:lineRule="auto"/>
              <w:jc w:val="center"/>
              <w:rPr>
                <w:rFonts w:eastAsia="Times New Roman" w:cs="Times New Roman"/>
                <w:color w:val="000000"/>
                <w:sz w:val="20"/>
                <w:szCs w:val="20"/>
                <w:lang w:eastAsia="cs-CZ"/>
              </w:rPr>
            </w:pPr>
            <w:r w:rsidRPr="00034BDD">
              <w:rPr>
                <w:rFonts w:eastAsia="Times New Roman" w:cs="Times New Roman"/>
                <w:color w:val="000000"/>
                <w:sz w:val="20"/>
                <w:szCs w:val="20"/>
                <w:lang w:eastAsia="cs-CZ"/>
              </w:rPr>
              <w:t>7,18</w:t>
            </w:r>
          </w:p>
        </w:tc>
        <w:tc>
          <w:tcPr>
            <w:tcW w:w="2380" w:type="dxa"/>
            <w:tcBorders>
              <w:top w:val="nil"/>
              <w:left w:val="nil"/>
              <w:bottom w:val="single" w:sz="4" w:space="0" w:color="auto"/>
              <w:right w:val="nil"/>
            </w:tcBorders>
            <w:shd w:val="clear" w:color="auto" w:fill="auto"/>
            <w:noWrap/>
            <w:vAlign w:val="center"/>
            <w:hideMark/>
          </w:tcPr>
          <w:p w:rsidR="00A978C0" w:rsidRPr="00034BDD" w:rsidRDefault="00A978C0" w:rsidP="00C124E3">
            <w:pPr>
              <w:spacing w:after="0" w:line="240" w:lineRule="auto"/>
              <w:jc w:val="center"/>
              <w:rPr>
                <w:rFonts w:eastAsia="Times New Roman" w:cs="Times New Roman"/>
                <w:color w:val="000000"/>
                <w:sz w:val="20"/>
                <w:szCs w:val="20"/>
                <w:lang w:eastAsia="cs-CZ"/>
              </w:rPr>
            </w:pPr>
            <w:r w:rsidRPr="00034BDD">
              <w:rPr>
                <w:rFonts w:eastAsia="Times New Roman" w:cs="Times New Roman"/>
                <w:color w:val="000000"/>
                <w:sz w:val="20"/>
                <w:szCs w:val="20"/>
                <w:lang w:eastAsia="cs-CZ"/>
              </w:rPr>
              <w:t>7,71</w:t>
            </w:r>
          </w:p>
        </w:tc>
      </w:tr>
      <w:tr w:rsidR="006D7B32" w:rsidRPr="00034BDD" w:rsidTr="00B71F51">
        <w:trPr>
          <w:trHeight w:val="201"/>
        </w:trPr>
        <w:tc>
          <w:tcPr>
            <w:tcW w:w="3843" w:type="dxa"/>
            <w:tcBorders>
              <w:top w:val="nil"/>
              <w:left w:val="nil"/>
              <w:bottom w:val="single" w:sz="4" w:space="0" w:color="auto"/>
              <w:right w:val="nil"/>
            </w:tcBorders>
            <w:shd w:val="clear" w:color="auto" w:fill="auto"/>
            <w:noWrap/>
            <w:vAlign w:val="center"/>
            <w:hideMark/>
          </w:tcPr>
          <w:p w:rsidR="00A978C0" w:rsidRPr="00034BDD" w:rsidRDefault="00A978C0" w:rsidP="00C124E3">
            <w:pPr>
              <w:spacing w:after="0" w:line="240" w:lineRule="auto"/>
              <w:rPr>
                <w:rFonts w:eastAsia="Times New Roman" w:cs="Times New Roman"/>
                <w:color w:val="000000"/>
                <w:sz w:val="20"/>
                <w:szCs w:val="20"/>
                <w:lang w:eastAsia="cs-CZ"/>
              </w:rPr>
            </w:pPr>
            <w:r w:rsidRPr="00034BDD">
              <w:rPr>
                <w:rFonts w:eastAsia="Times New Roman" w:cs="Times New Roman"/>
                <w:color w:val="000000"/>
                <w:sz w:val="20"/>
                <w:szCs w:val="20"/>
                <w:lang w:eastAsia="cs-CZ"/>
              </w:rPr>
              <w:t>KNK</w:t>
            </w:r>
            <w:r w:rsidRPr="00034BDD">
              <w:rPr>
                <w:rFonts w:eastAsia="Times New Roman" w:cs="Times New Roman"/>
                <w:color w:val="000000"/>
                <w:sz w:val="20"/>
                <w:szCs w:val="20"/>
                <w:vertAlign w:val="subscript"/>
                <w:lang w:eastAsia="cs-CZ"/>
              </w:rPr>
              <w:t>4,5</w:t>
            </w:r>
            <w:r w:rsidRPr="00034BDD">
              <w:rPr>
                <w:rFonts w:eastAsia="Times New Roman" w:cs="Times New Roman"/>
                <w:color w:val="000000"/>
                <w:sz w:val="20"/>
                <w:szCs w:val="20"/>
                <w:lang w:eastAsia="cs-CZ"/>
              </w:rPr>
              <w:t xml:space="preserve"> (</w:t>
            </w:r>
            <w:proofErr w:type="spellStart"/>
            <w:r w:rsidRPr="00034BDD">
              <w:rPr>
                <w:rFonts w:eastAsia="Times New Roman" w:cs="Times New Roman"/>
                <w:color w:val="000000"/>
                <w:sz w:val="20"/>
                <w:szCs w:val="20"/>
                <w:lang w:eastAsia="cs-CZ"/>
              </w:rPr>
              <w:t>mmol</w:t>
            </w:r>
            <w:proofErr w:type="spellEnd"/>
            <w:r w:rsidRPr="00034BDD">
              <w:rPr>
                <w:rFonts w:eastAsia="Times New Roman" w:cs="Times New Roman"/>
                <w:color w:val="000000"/>
                <w:sz w:val="20"/>
                <w:szCs w:val="20"/>
                <w:lang w:eastAsia="cs-CZ"/>
              </w:rPr>
              <w:t>/l)</w:t>
            </w:r>
          </w:p>
        </w:tc>
        <w:tc>
          <w:tcPr>
            <w:tcW w:w="2380" w:type="dxa"/>
            <w:tcBorders>
              <w:top w:val="nil"/>
              <w:left w:val="nil"/>
              <w:bottom w:val="single" w:sz="4" w:space="0" w:color="auto"/>
              <w:right w:val="nil"/>
            </w:tcBorders>
            <w:shd w:val="clear" w:color="auto" w:fill="auto"/>
            <w:noWrap/>
            <w:vAlign w:val="center"/>
            <w:hideMark/>
          </w:tcPr>
          <w:p w:rsidR="00A978C0" w:rsidRPr="00034BDD" w:rsidRDefault="00A978C0" w:rsidP="00C124E3">
            <w:pPr>
              <w:spacing w:after="0" w:line="240" w:lineRule="auto"/>
              <w:jc w:val="center"/>
              <w:rPr>
                <w:rFonts w:eastAsia="Times New Roman" w:cs="Times New Roman"/>
                <w:color w:val="000000"/>
                <w:sz w:val="20"/>
                <w:szCs w:val="20"/>
                <w:lang w:eastAsia="cs-CZ"/>
              </w:rPr>
            </w:pPr>
            <w:r w:rsidRPr="00034BDD">
              <w:rPr>
                <w:rFonts w:eastAsia="Times New Roman" w:cs="Times New Roman"/>
                <w:color w:val="000000"/>
                <w:sz w:val="20"/>
                <w:szCs w:val="20"/>
                <w:lang w:eastAsia="cs-CZ"/>
              </w:rPr>
              <w:t>3,71</w:t>
            </w:r>
          </w:p>
        </w:tc>
        <w:tc>
          <w:tcPr>
            <w:tcW w:w="2380" w:type="dxa"/>
            <w:tcBorders>
              <w:top w:val="nil"/>
              <w:left w:val="nil"/>
              <w:bottom w:val="single" w:sz="4" w:space="0" w:color="auto"/>
              <w:right w:val="nil"/>
            </w:tcBorders>
            <w:shd w:val="clear" w:color="auto" w:fill="auto"/>
            <w:noWrap/>
            <w:vAlign w:val="center"/>
            <w:hideMark/>
          </w:tcPr>
          <w:p w:rsidR="00A978C0" w:rsidRPr="00034BDD" w:rsidRDefault="00A978C0" w:rsidP="00C124E3">
            <w:pPr>
              <w:spacing w:after="0" w:line="240" w:lineRule="auto"/>
              <w:jc w:val="center"/>
              <w:rPr>
                <w:rFonts w:eastAsia="Times New Roman" w:cs="Times New Roman"/>
                <w:color w:val="000000"/>
                <w:sz w:val="20"/>
                <w:szCs w:val="20"/>
                <w:lang w:eastAsia="cs-CZ"/>
              </w:rPr>
            </w:pPr>
            <w:r w:rsidRPr="00034BDD">
              <w:rPr>
                <w:rFonts w:eastAsia="Times New Roman" w:cs="Times New Roman"/>
                <w:color w:val="000000"/>
                <w:sz w:val="20"/>
                <w:szCs w:val="20"/>
                <w:lang w:eastAsia="cs-CZ"/>
              </w:rPr>
              <w:t>2,75</w:t>
            </w:r>
          </w:p>
        </w:tc>
      </w:tr>
      <w:tr w:rsidR="006D7B32" w:rsidRPr="00034BDD" w:rsidTr="00B71F51">
        <w:trPr>
          <w:trHeight w:val="201"/>
        </w:trPr>
        <w:tc>
          <w:tcPr>
            <w:tcW w:w="3843" w:type="dxa"/>
            <w:tcBorders>
              <w:top w:val="nil"/>
              <w:left w:val="nil"/>
              <w:bottom w:val="single" w:sz="4" w:space="0" w:color="auto"/>
              <w:right w:val="nil"/>
            </w:tcBorders>
            <w:shd w:val="clear" w:color="auto" w:fill="auto"/>
            <w:noWrap/>
            <w:vAlign w:val="center"/>
            <w:hideMark/>
          </w:tcPr>
          <w:p w:rsidR="00A978C0" w:rsidRPr="00034BDD" w:rsidRDefault="00A978C0" w:rsidP="00C124E3">
            <w:pPr>
              <w:spacing w:after="0" w:line="240" w:lineRule="auto"/>
              <w:rPr>
                <w:rFonts w:eastAsia="Times New Roman" w:cs="Times New Roman"/>
                <w:color w:val="000000"/>
                <w:sz w:val="20"/>
                <w:szCs w:val="20"/>
                <w:lang w:eastAsia="cs-CZ"/>
              </w:rPr>
            </w:pPr>
            <w:r w:rsidRPr="00034BDD">
              <w:rPr>
                <w:rFonts w:eastAsia="Times New Roman" w:cs="Times New Roman"/>
                <w:color w:val="000000"/>
                <w:sz w:val="20"/>
                <w:szCs w:val="20"/>
                <w:lang w:eastAsia="cs-CZ"/>
              </w:rPr>
              <w:t>NH</w:t>
            </w:r>
            <w:r w:rsidRPr="00034BDD">
              <w:rPr>
                <w:rFonts w:eastAsia="Times New Roman" w:cs="Times New Roman"/>
                <w:color w:val="000000"/>
                <w:sz w:val="20"/>
                <w:szCs w:val="20"/>
                <w:vertAlign w:val="subscript"/>
                <w:lang w:eastAsia="cs-CZ"/>
              </w:rPr>
              <w:t>4</w:t>
            </w:r>
            <w:r w:rsidR="00176278" w:rsidRPr="00034BDD">
              <w:rPr>
                <w:rFonts w:eastAsia="Times New Roman" w:cs="Times New Roman"/>
                <w:color w:val="000000"/>
                <w:sz w:val="20"/>
                <w:szCs w:val="20"/>
                <w:vertAlign w:val="superscript"/>
                <w:lang w:eastAsia="cs-CZ"/>
              </w:rPr>
              <w:t>-</w:t>
            </w:r>
            <w:r w:rsidRPr="00034BDD">
              <w:rPr>
                <w:rFonts w:eastAsia="Times New Roman" w:cs="Times New Roman"/>
                <w:color w:val="000000"/>
                <w:sz w:val="20"/>
                <w:szCs w:val="20"/>
                <w:lang w:eastAsia="cs-CZ"/>
              </w:rPr>
              <w:t xml:space="preserve"> (mg/l)</w:t>
            </w:r>
          </w:p>
        </w:tc>
        <w:tc>
          <w:tcPr>
            <w:tcW w:w="2380" w:type="dxa"/>
            <w:tcBorders>
              <w:top w:val="nil"/>
              <w:left w:val="nil"/>
              <w:bottom w:val="single" w:sz="4" w:space="0" w:color="auto"/>
              <w:right w:val="nil"/>
            </w:tcBorders>
            <w:shd w:val="clear" w:color="auto" w:fill="auto"/>
            <w:noWrap/>
            <w:vAlign w:val="center"/>
            <w:hideMark/>
          </w:tcPr>
          <w:p w:rsidR="00A978C0" w:rsidRPr="00034BDD" w:rsidRDefault="00A978C0" w:rsidP="00C124E3">
            <w:pPr>
              <w:spacing w:after="0" w:line="240" w:lineRule="auto"/>
              <w:jc w:val="center"/>
              <w:rPr>
                <w:rFonts w:eastAsia="Times New Roman" w:cs="Times New Roman"/>
                <w:color w:val="000000"/>
                <w:sz w:val="20"/>
                <w:szCs w:val="20"/>
                <w:lang w:eastAsia="cs-CZ"/>
              </w:rPr>
            </w:pPr>
            <w:r w:rsidRPr="00034BDD">
              <w:rPr>
                <w:rFonts w:eastAsia="Times New Roman" w:cs="Times New Roman"/>
                <w:color w:val="000000"/>
                <w:sz w:val="20"/>
                <w:szCs w:val="20"/>
                <w:lang w:eastAsia="cs-CZ"/>
              </w:rPr>
              <w:t>˂0,10</w:t>
            </w:r>
          </w:p>
        </w:tc>
        <w:tc>
          <w:tcPr>
            <w:tcW w:w="2380" w:type="dxa"/>
            <w:tcBorders>
              <w:top w:val="nil"/>
              <w:left w:val="nil"/>
              <w:bottom w:val="single" w:sz="4" w:space="0" w:color="auto"/>
              <w:right w:val="nil"/>
            </w:tcBorders>
            <w:shd w:val="clear" w:color="auto" w:fill="auto"/>
            <w:noWrap/>
            <w:vAlign w:val="center"/>
            <w:hideMark/>
          </w:tcPr>
          <w:p w:rsidR="00A978C0" w:rsidRPr="00034BDD" w:rsidRDefault="00A978C0" w:rsidP="00C124E3">
            <w:pPr>
              <w:spacing w:after="0" w:line="240" w:lineRule="auto"/>
              <w:jc w:val="center"/>
              <w:rPr>
                <w:rFonts w:eastAsia="Times New Roman" w:cs="Times New Roman"/>
                <w:color w:val="000000"/>
                <w:sz w:val="20"/>
                <w:szCs w:val="20"/>
                <w:lang w:eastAsia="cs-CZ"/>
              </w:rPr>
            </w:pPr>
            <w:r w:rsidRPr="00034BDD">
              <w:rPr>
                <w:rFonts w:eastAsia="Times New Roman" w:cs="Times New Roman"/>
                <w:color w:val="000000"/>
                <w:sz w:val="20"/>
                <w:szCs w:val="20"/>
                <w:lang w:eastAsia="cs-CZ"/>
              </w:rPr>
              <w:t>2,09</w:t>
            </w:r>
          </w:p>
        </w:tc>
      </w:tr>
      <w:tr w:rsidR="006D7B32" w:rsidRPr="00034BDD" w:rsidTr="00B71F51">
        <w:trPr>
          <w:trHeight w:val="201"/>
        </w:trPr>
        <w:tc>
          <w:tcPr>
            <w:tcW w:w="3843" w:type="dxa"/>
            <w:tcBorders>
              <w:top w:val="nil"/>
              <w:left w:val="nil"/>
              <w:bottom w:val="single" w:sz="4" w:space="0" w:color="auto"/>
              <w:right w:val="nil"/>
            </w:tcBorders>
            <w:shd w:val="clear" w:color="auto" w:fill="auto"/>
            <w:noWrap/>
            <w:vAlign w:val="center"/>
            <w:hideMark/>
          </w:tcPr>
          <w:p w:rsidR="00A978C0" w:rsidRPr="00034BDD" w:rsidRDefault="00A978C0" w:rsidP="00C124E3">
            <w:pPr>
              <w:spacing w:after="0" w:line="240" w:lineRule="auto"/>
              <w:rPr>
                <w:rFonts w:eastAsia="Times New Roman" w:cs="Times New Roman"/>
                <w:color w:val="000000"/>
                <w:sz w:val="20"/>
                <w:szCs w:val="20"/>
                <w:lang w:eastAsia="cs-CZ"/>
              </w:rPr>
            </w:pPr>
            <w:r w:rsidRPr="00034BDD">
              <w:rPr>
                <w:rFonts w:eastAsia="Times New Roman" w:cs="Times New Roman"/>
                <w:color w:val="000000"/>
                <w:sz w:val="20"/>
                <w:szCs w:val="20"/>
                <w:lang w:eastAsia="cs-CZ"/>
              </w:rPr>
              <w:t>NO</w:t>
            </w:r>
            <w:r w:rsidRPr="00034BDD">
              <w:rPr>
                <w:rFonts w:eastAsia="Times New Roman" w:cs="Times New Roman"/>
                <w:color w:val="000000"/>
                <w:sz w:val="20"/>
                <w:szCs w:val="20"/>
                <w:vertAlign w:val="subscript"/>
                <w:lang w:eastAsia="cs-CZ"/>
              </w:rPr>
              <w:t>3</w:t>
            </w:r>
            <w:r w:rsidR="00176278" w:rsidRPr="00034BDD">
              <w:rPr>
                <w:rFonts w:eastAsia="Times New Roman" w:cs="Times New Roman"/>
                <w:color w:val="000000"/>
                <w:sz w:val="20"/>
                <w:szCs w:val="20"/>
                <w:vertAlign w:val="superscript"/>
                <w:lang w:eastAsia="cs-CZ"/>
              </w:rPr>
              <w:t>-</w:t>
            </w:r>
            <w:r w:rsidRPr="00034BDD">
              <w:rPr>
                <w:rFonts w:eastAsia="Times New Roman" w:cs="Times New Roman"/>
                <w:color w:val="000000"/>
                <w:sz w:val="20"/>
                <w:szCs w:val="20"/>
                <w:vertAlign w:val="superscript"/>
                <w:lang w:eastAsia="cs-CZ"/>
              </w:rPr>
              <w:t xml:space="preserve"> </w:t>
            </w:r>
            <w:r w:rsidRPr="00034BDD">
              <w:rPr>
                <w:rFonts w:eastAsia="Times New Roman" w:cs="Times New Roman"/>
                <w:color w:val="000000"/>
                <w:sz w:val="20"/>
                <w:szCs w:val="20"/>
                <w:lang w:eastAsia="cs-CZ"/>
              </w:rPr>
              <w:t>(mg/l)</w:t>
            </w:r>
          </w:p>
        </w:tc>
        <w:tc>
          <w:tcPr>
            <w:tcW w:w="2380" w:type="dxa"/>
            <w:tcBorders>
              <w:top w:val="nil"/>
              <w:left w:val="nil"/>
              <w:bottom w:val="single" w:sz="4" w:space="0" w:color="auto"/>
              <w:right w:val="nil"/>
            </w:tcBorders>
            <w:shd w:val="clear" w:color="auto" w:fill="auto"/>
            <w:noWrap/>
            <w:vAlign w:val="center"/>
            <w:hideMark/>
          </w:tcPr>
          <w:p w:rsidR="00A978C0" w:rsidRPr="00034BDD" w:rsidRDefault="00A978C0" w:rsidP="00C124E3">
            <w:pPr>
              <w:spacing w:after="0" w:line="240" w:lineRule="auto"/>
              <w:jc w:val="center"/>
              <w:rPr>
                <w:rFonts w:eastAsia="Times New Roman" w:cs="Times New Roman"/>
                <w:color w:val="000000"/>
                <w:sz w:val="20"/>
                <w:szCs w:val="20"/>
                <w:lang w:eastAsia="cs-CZ"/>
              </w:rPr>
            </w:pPr>
            <w:r w:rsidRPr="00034BDD">
              <w:rPr>
                <w:rFonts w:eastAsia="Times New Roman" w:cs="Times New Roman"/>
                <w:color w:val="000000"/>
                <w:sz w:val="20"/>
                <w:szCs w:val="20"/>
                <w:lang w:eastAsia="cs-CZ"/>
              </w:rPr>
              <w:t>0,24</w:t>
            </w:r>
          </w:p>
        </w:tc>
        <w:tc>
          <w:tcPr>
            <w:tcW w:w="2380" w:type="dxa"/>
            <w:tcBorders>
              <w:top w:val="nil"/>
              <w:left w:val="nil"/>
              <w:bottom w:val="single" w:sz="4" w:space="0" w:color="auto"/>
              <w:right w:val="nil"/>
            </w:tcBorders>
            <w:shd w:val="clear" w:color="auto" w:fill="auto"/>
            <w:noWrap/>
            <w:vAlign w:val="center"/>
            <w:hideMark/>
          </w:tcPr>
          <w:p w:rsidR="00A978C0" w:rsidRPr="00034BDD" w:rsidRDefault="00A978C0" w:rsidP="00C124E3">
            <w:pPr>
              <w:spacing w:after="0" w:line="240" w:lineRule="auto"/>
              <w:jc w:val="center"/>
              <w:rPr>
                <w:rFonts w:eastAsia="Times New Roman" w:cs="Times New Roman"/>
                <w:color w:val="000000"/>
                <w:sz w:val="20"/>
                <w:szCs w:val="20"/>
                <w:lang w:eastAsia="cs-CZ"/>
              </w:rPr>
            </w:pPr>
            <w:r w:rsidRPr="00034BDD">
              <w:rPr>
                <w:rFonts w:eastAsia="Times New Roman" w:cs="Times New Roman"/>
                <w:color w:val="000000"/>
                <w:sz w:val="20"/>
                <w:szCs w:val="20"/>
                <w:lang w:eastAsia="cs-CZ"/>
              </w:rPr>
              <w:t>˂0,20</w:t>
            </w:r>
          </w:p>
        </w:tc>
      </w:tr>
      <w:tr w:rsidR="006D7B32" w:rsidRPr="00034BDD" w:rsidTr="00B71F51">
        <w:trPr>
          <w:trHeight w:val="201"/>
        </w:trPr>
        <w:tc>
          <w:tcPr>
            <w:tcW w:w="3843" w:type="dxa"/>
            <w:tcBorders>
              <w:top w:val="nil"/>
              <w:left w:val="nil"/>
              <w:bottom w:val="single" w:sz="4" w:space="0" w:color="auto"/>
              <w:right w:val="nil"/>
            </w:tcBorders>
            <w:shd w:val="clear" w:color="auto" w:fill="auto"/>
            <w:noWrap/>
            <w:vAlign w:val="center"/>
            <w:hideMark/>
          </w:tcPr>
          <w:p w:rsidR="00A978C0" w:rsidRPr="00034BDD" w:rsidRDefault="00A978C0" w:rsidP="00C124E3">
            <w:pPr>
              <w:spacing w:after="0" w:line="240" w:lineRule="auto"/>
              <w:rPr>
                <w:rFonts w:eastAsia="Times New Roman" w:cs="Times New Roman"/>
                <w:color w:val="000000"/>
                <w:sz w:val="20"/>
                <w:szCs w:val="20"/>
                <w:lang w:eastAsia="cs-CZ"/>
              </w:rPr>
            </w:pPr>
            <w:r w:rsidRPr="00034BDD">
              <w:rPr>
                <w:rFonts w:eastAsia="Times New Roman" w:cs="Times New Roman"/>
                <w:color w:val="000000"/>
                <w:sz w:val="20"/>
                <w:szCs w:val="20"/>
                <w:lang w:eastAsia="cs-CZ"/>
              </w:rPr>
              <w:t>NO</w:t>
            </w:r>
            <w:r w:rsidRPr="00034BDD">
              <w:rPr>
                <w:rFonts w:eastAsia="Times New Roman" w:cs="Times New Roman"/>
                <w:color w:val="000000"/>
                <w:sz w:val="20"/>
                <w:szCs w:val="20"/>
                <w:vertAlign w:val="subscript"/>
                <w:lang w:eastAsia="cs-CZ"/>
              </w:rPr>
              <w:t>2</w:t>
            </w:r>
            <w:r w:rsidR="00176278" w:rsidRPr="00034BDD">
              <w:rPr>
                <w:rFonts w:eastAsia="Times New Roman" w:cs="Times New Roman"/>
                <w:color w:val="000000"/>
                <w:sz w:val="20"/>
                <w:szCs w:val="20"/>
                <w:vertAlign w:val="superscript"/>
                <w:lang w:eastAsia="cs-CZ"/>
              </w:rPr>
              <w:t>-</w:t>
            </w:r>
            <w:r w:rsidRPr="00034BDD">
              <w:rPr>
                <w:rFonts w:eastAsia="Times New Roman" w:cs="Times New Roman"/>
                <w:color w:val="000000"/>
                <w:sz w:val="20"/>
                <w:szCs w:val="20"/>
                <w:lang w:eastAsia="cs-CZ"/>
              </w:rPr>
              <w:t xml:space="preserve"> (mg/l)</w:t>
            </w:r>
          </w:p>
        </w:tc>
        <w:tc>
          <w:tcPr>
            <w:tcW w:w="2380" w:type="dxa"/>
            <w:tcBorders>
              <w:top w:val="nil"/>
              <w:left w:val="nil"/>
              <w:bottom w:val="single" w:sz="4" w:space="0" w:color="auto"/>
              <w:right w:val="nil"/>
            </w:tcBorders>
            <w:shd w:val="clear" w:color="auto" w:fill="auto"/>
            <w:noWrap/>
            <w:vAlign w:val="center"/>
            <w:hideMark/>
          </w:tcPr>
          <w:p w:rsidR="00A978C0" w:rsidRPr="00034BDD" w:rsidRDefault="00A978C0" w:rsidP="00C124E3">
            <w:pPr>
              <w:spacing w:after="0" w:line="240" w:lineRule="auto"/>
              <w:jc w:val="center"/>
              <w:rPr>
                <w:rFonts w:eastAsia="Times New Roman" w:cs="Times New Roman"/>
                <w:color w:val="000000"/>
                <w:sz w:val="20"/>
                <w:szCs w:val="20"/>
                <w:lang w:eastAsia="cs-CZ"/>
              </w:rPr>
            </w:pPr>
            <w:r w:rsidRPr="00034BDD">
              <w:rPr>
                <w:rFonts w:eastAsia="Times New Roman" w:cs="Times New Roman"/>
                <w:color w:val="000000"/>
                <w:sz w:val="20"/>
                <w:szCs w:val="20"/>
                <w:lang w:eastAsia="cs-CZ"/>
              </w:rPr>
              <w:t>0,04</w:t>
            </w:r>
          </w:p>
        </w:tc>
        <w:tc>
          <w:tcPr>
            <w:tcW w:w="2380" w:type="dxa"/>
            <w:tcBorders>
              <w:top w:val="nil"/>
              <w:left w:val="nil"/>
              <w:bottom w:val="single" w:sz="4" w:space="0" w:color="auto"/>
              <w:right w:val="nil"/>
            </w:tcBorders>
            <w:shd w:val="clear" w:color="auto" w:fill="auto"/>
            <w:noWrap/>
            <w:vAlign w:val="center"/>
            <w:hideMark/>
          </w:tcPr>
          <w:p w:rsidR="00A978C0" w:rsidRPr="00034BDD" w:rsidRDefault="00A978C0" w:rsidP="00C124E3">
            <w:pPr>
              <w:spacing w:after="0" w:line="240" w:lineRule="auto"/>
              <w:jc w:val="center"/>
              <w:rPr>
                <w:rFonts w:eastAsia="Times New Roman" w:cs="Times New Roman"/>
                <w:color w:val="000000"/>
                <w:sz w:val="20"/>
                <w:szCs w:val="20"/>
                <w:lang w:eastAsia="cs-CZ"/>
              </w:rPr>
            </w:pPr>
            <w:r w:rsidRPr="00034BDD">
              <w:rPr>
                <w:rFonts w:eastAsia="Times New Roman" w:cs="Times New Roman"/>
                <w:color w:val="000000"/>
                <w:sz w:val="20"/>
                <w:szCs w:val="20"/>
                <w:lang w:eastAsia="cs-CZ"/>
              </w:rPr>
              <w:t>˂0,02</w:t>
            </w:r>
          </w:p>
        </w:tc>
      </w:tr>
      <w:tr w:rsidR="006D7B32" w:rsidRPr="00034BDD" w:rsidTr="00B71F51">
        <w:trPr>
          <w:trHeight w:val="201"/>
        </w:trPr>
        <w:tc>
          <w:tcPr>
            <w:tcW w:w="3843" w:type="dxa"/>
            <w:tcBorders>
              <w:top w:val="nil"/>
              <w:left w:val="nil"/>
              <w:bottom w:val="single" w:sz="4" w:space="0" w:color="auto"/>
              <w:right w:val="nil"/>
            </w:tcBorders>
            <w:shd w:val="clear" w:color="auto" w:fill="auto"/>
            <w:noWrap/>
            <w:vAlign w:val="center"/>
            <w:hideMark/>
          </w:tcPr>
          <w:p w:rsidR="00A978C0" w:rsidRPr="00034BDD" w:rsidRDefault="00A978C0" w:rsidP="00C124E3">
            <w:pPr>
              <w:spacing w:after="0" w:line="240" w:lineRule="auto"/>
              <w:rPr>
                <w:rFonts w:eastAsia="Times New Roman" w:cs="Times New Roman"/>
                <w:color w:val="000000"/>
                <w:sz w:val="20"/>
                <w:szCs w:val="20"/>
                <w:lang w:eastAsia="cs-CZ"/>
              </w:rPr>
            </w:pPr>
            <w:r w:rsidRPr="00034BDD">
              <w:rPr>
                <w:rFonts w:eastAsia="Times New Roman" w:cs="Times New Roman"/>
                <w:color w:val="000000"/>
                <w:sz w:val="20"/>
                <w:szCs w:val="20"/>
                <w:lang w:eastAsia="cs-CZ"/>
              </w:rPr>
              <w:t>PO</w:t>
            </w:r>
            <w:r w:rsidRPr="00034BDD">
              <w:rPr>
                <w:rFonts w:eastAsia="Times New Roman" w:cs="Times New Roman"/>
                <w:color w:val="000000"/>
                <w:sz w:val="20"/>
                <w:szCs w:val="20"/>
                <w:vertAlign w:val="subscript"/>
                <w:lang w:eastAsia="cs-CZ"/>
              </w:rPr>
              <w:t>4</w:t>
            </w:r>
            <w:r w:rsidR="00176278" w:rsidRPr="00034BDD">
              <w:rPr>
                <w:rFonts w:eastAsia="Times New Roman" w:cs="Times New Roman"/>
                <w:color w:val="000000"/>
                <w:sz w:val="20"/>
                <w:szCs w:val="20"/>
                <w:vertAlign w:val="superscript"/>
                <w:lang w:eastAsia="cs-CZ"/>
              </w:rPr>
              <w:t>3-</w:t>
            </w:r>
            <w:r w:rsidRPr="00034BDD">
              <w:rPr>
                <w:rFonts w:eastAsia="Times New Roman" w:cs="Times New Roman"/>
                <w:color w:val="000000"/>
                <w:sz w:val="20"/>
                <w:szCs w:val="20"/>
                <w:lang w:eastAsia="cs-CZ"/>
              </w:rPr>
              <w:t xml:space="preserve"> (mg/l)</w:t>
            </w:r>
          </w:p>
        </w:tc>
        <w:tc>
          <w:tcPr>
            <w:tcW w:w="2380" w:type="dxa"/>
            <w:tcBorders>
              <w:top w:val="nil"/>
              <w:left w:val="nil"/>
              <w:bottom w:val="single" w:sz="4" w:space="0" w:color="auto"/>
              <w:right w:val="nil"/>
            </w:tcBorders>
            <w:shd w:val="clear" w:color="auto" w:fill="auto"/>
            <w:noWrap/>
            <w:vAlign w:val="center"/>
            <w:hideMark/>
          </w:tcPr>
          <w:p w:rsidR="00A978C0" w:rsidRPr="00034BDD" w:rsidRDefault="00A978C0" w:rsidP="00C124E3">
            <w:pPr>
              <w:spacing w:after="0" w:line="240" w:lineRule="auto"/>
              <w:jc w:val="center"/>
              <w:rPr>
                <w:rFonts w:eastAsia="Times New Roman" w:cs="Times New Roman"/>
                <w:color w:val="000000"/>
                <w:sz w:val="20"/>
                <w:szCs w:val="20"/>
                <w:lang w:eastAsia="cs-CZ"/>
              </w:rPr>
            </w:pPr>
            <w:r w:rsidRPr="00034BDD">
              <w:rPr>
                <w:rFonts w:eastAsia="Times New Roman" w:cs="Times New Roman"/>
                <w:color w:val="000000"/>
                <w:sz w:val="20"/>
                <w:szCs w:val="20"/>
                <w:lang w:eastAsia="cs-CZ"/>
              </w:rPr>
              <w:t>0,54</w:t>
            </w:r>
          </w:p>
        </w:tc>
        <w:tc>
          <w:tcPr>
            <w:tcW w:w="2380" w:type="dxa"/>
            <w:tcBorders>
              <w:top w:val="nil"/>
              <w:left w:val="nil"/>
              <w:bottom w:val="single" w:sz="4" w:space="0" w:color="auto"/>
              <w:right w:val="nil"/>
            </w:tcBorders>
            <w:shd w:val="clear" w:color="auto" w:fill="auto"/>
            <w:noWrap/>
            <w:vAlign w:val="center"/>
            <w:hideMark/>
          </w:tcPr>
          <w:p w:rsidR="00A978C0" w:rsidRPr="00034BDD" w:rsidRDefault="00A978C0" w:rsidP="00C124E3">
            <w:pPr>
              <w:spacing w:after="0" w:line="240" w:lineRule="auto"/>
              <w:jc w:val="center"/>
              <w:rPr>
                <w:rFonts w:eastAsia="Times New Roman" w:cs="Times New Roman"/>
                <w:color w:val="000000"/>
                <w:sz w:val="20"/>
                <w:szCs w:val="20"/>
                <w:lang w:eastAsia="cs-CZ"/>
              </w:rPr>
            </w:pPr>
            <w:r w:rsidRPr="00034BDD">
              <w:rPr>
                <w:rFonts w:eastAsia="Times New Roman" w:cs="Times New Roman"/>
                <w:color w:val="000000"/>
                <w:sz w:val="20"/>
                <w:szCs w:val="20"/>
                <w:lang w:eastAsia="cs-CZ"/>
              </w:rPr>
              <w:t>˂0,05</w:t>
            </w:r>
          </w:p>
        </w:tc>
      </w:tr>
      <w:tr w:rsidR="006D7B32" w:rsidRPr="00034BDD" w:rsidTr="00B71F51">
        <w:trPr>
          <w:trHeight w:val="201"/>
        </w:trPr>
        <w:tc>
          <w:tcPr>
            <w:tcW w:w="3843" w:type="dxa"/>
            <w:tcBorders>
              <w:top w:val="nil"/>
              <w:left w:val="nil"/>
              <w:bottom w:val="single" w:sz="4" w:space="0" w:color="auto"/>
              <w:right w:val="nil"/>
            </w:tcBorders>
            <w:shd w:val="clear" w:color="auto" w:fill="auto"/>
            <w:noWrap/>
            <w:vAlign w:val="center"/>
            <w:hideMark/>
          </w:tcPr>
          <w:p w:rsidR="00A978C0" w:rsidRPr="00034BDD" w:rsidRDefault="00A978C0" w:rsidP="00C124E3">
            <w:pPr>
              <w:spacing w:after="0" w:line="240" w:lineRule="auto"/>
              <w:rPr>
                <w:rFonts w:eastAsia="Times New Roman" w:cs="Times New Roman"/>
                <w:color w:val="000000"/>
                <w:sz w:val="20"/>
                <w:szCs w:val="20"/>
                <w:lang w:eastAsia="cs-CZ"/>
              </w:rPr>
            </w:pPr>
            <w:r w:rsidRPr="00034BDD">
              <w:rPr>
                <w:rFonts w:eastAsia="Times New Roman" w:cs="Times New Roman"/>
                <w:color w:val="000000"/>
                <w:sz w:val="20"/>
                <w:szCs w:val="20"/>
                <w:lang w:eastAsia="cs-CZ"/>
              </w:rPr>
              <w:t>P</w:t>
            </w:r>
            <w:r w:rsidR="009504D5" w:rsidRPr="00034BDD">
              <w:rPr>
                <w:rFonts w:eastAsia="Times New Roman" w:cs="Times New Roman"/>
                <w:color w:val="000000"/>
                <w:sz w:val="20"/>
                <w:szCs w:val="20"/>
                <w:lang w:eastAsia="cs-CZ"/>
              </w:rPr>
              <w:t>-</w:t>
            </w:r>
            <w:r w:rsidRPr="00034BDD">
              <w:rPr>
                <w:rFonts w:eastAsia="Times New Roman" w:cs="Times New Roman"/>
                <w:color w:val="000000"/>
                <w:sz w:val="20"/>
                <w:szCs w:val="20"/>
                <w:lang w:eastAsia="cs-CZ"/>
              </w:rPr>
              <w:t>PO</w:t>
            </w:r>
            <w:r w:rsidRPr="00034BDD">
              <w:rPr>
                <w:rFonts w:eastAsia="Times New Roman" w:cs="Times New Roman"/>
                <w:color w:val="000000"/>
                <w:sz w:val="20"/>
                <w:szCs w:val="20"/>
                <w:vertAlign w:val="subscript"/>
                <w:lang w:eastAsia="cs-CZ"/>
              </w:rPr>
              <w:t>4</w:t>
            </w:r>
            <w:r w:rsidR="00176278" w:rsidRPr="00034BDD">
              <w:rPr>
                <w:rFonts w:eastAsia="Times New Roman" w:cs="Times New Roman"/>
                <w:color w:val="000000"/>
                <w:sz w:val="20"/>
                <w:szCs w:val="20"/>
                <w:vertAlign w:val="superscript"/>
                <w:lang w:eastAsia="cs-CZ"/>
              </w:rPr>
              <w:t>3-</w:t>
            </w:r>
            <w:r w:rsidRPr="00034BDD">
              <w:rPr>
                <w:rFonts w:eastAsia="Times New Roman" w:cs="Times New Roman"/>
                <w:color w:val="000000"/>
                <w:sz w:val="20"/>
                <w:szCs w:val="20"/>
                <w:lang w:eastAsia="cs-CZ"/>
              </w:rPr>
              <w:t xml:space="preserve"> (mg/l)</w:t>
            </w:r>
          </w:p>
        </w:tc>
        <w:tc>
          <w:tcPr>
            <w:tcW w:w="2380" w:type="dxa"/>
            <w:tcBorders>
              <w:top w:val="nil"/>
              <w:left w:val="nil"/>
              <w:bottom w:val="single" w:sz="4" w:space="0" w:color="auto"/>
              <w:right w:val="nil"/>
            </w:tcBorders>
            <w:shd w:val="clear" w:color="auto" w:fill="auto"/>
            <w:noWrap/>
            <w:vAlign w:val="center"/>
            <w:hideMark/>
          </w:tcPr>
          <w:p w:rsidR="00A978C0" w:rsidRPr="00034BDD" w:rsidRDefault="00A978C0" w:rsidP="00C124E3">
            <w:pPr>
              <w:spacing w:after="0" w:line="240" w:lineRule="auto"/>
              <w:jc w:val="center"/>
              <w:rPr>
                <w:rFonts w:eastAsia="Times New Roman" w:cs="Times New Roman"/>
                <w:color w:val="000000"/>
                <w:sz w:val="20"/>
                <w:szCs w:val="20"/>
                <w:lang w:eastAsia="cs-CZ"/>
              </w:rPr>
            </w:pPr>
            <w:r w:rsidRPr="00034BDD">
              <w:rPr>
                <w:rFonts w:eastAsia="Times New Roman" w:cs="Times New Roman"/>
                <w:color w:val="000000"/>
                <w:sz w:val="20"/>
                <w:szCs w:val="20"/>
                <w:lang w:eastAsia="cs-CZ"/>
              </w:rPr>
              <w:t>0,18</w:t>
            </w:r>
          </w:p>
        </w:tc>
        <w:tc>
          <w:tcPr>
            <w:tcW w:w="2380" w:type="dxa"/>
            <w:tcBorders>
              <w:top w:val="nil"/>
              <w:left w:val="nil"/>
              <w:bottom w:val="single" w:sz="4" w:space="0" w:color="auto"/>
              <w:right w:val="nil"/>
            </w:tcBorders>
            <w:shd w:val="clear" w:color="auto" w:fill="auto"/>
            <w:noWrap/>
            <w:vAlign w:val="center"/>
            <w:hideMark/>
          </w:tcPr>
          <w:p w:rsidR="00A978C0" w:rsidRPr="00034BDD" w:rsidRDefault="00A978C0" w:rsidP="00C124E3">
            <w:pPr>
              <w:spacing w:after="0" w:line="240" w:lineRule="auto"/>
              <w:jc w:val="center"/>
              <w:rPr>
                <w:rFonts w:eastAsia="Times New Roman" w:cs="Times New Roman"/>
                <w:color w:val="000000"/>
                <w:sz w:val="20"/>
                <w:szCs w:val="20"/>
                <w:lang w:eastAsia="cs-CZ"/>
              </w:rPr>
            </w:pPr>
            <w:r w:rsidRPr="00034BDD">
              <w:rPr>
                <w:rFonts w:eastAsia="Times New Roman" w:cs="Times New Roman"/>
                <w:color w:val="000000"/>
                <w:sz w:val="20"/>
                <w:szCs w:val="20"/>
                <w:lang w:eastAsia="cs-CZ"/>
              </w:rPr>
              <w:t>˂0,02</w:t>
            </w:r>
          </w:p>
        </w:tc>
      </w:tr>
      <w:tr w:rsidR="006D7B32" w:rsidRPr="00034BDD" w:rsidTr="00B71F51">
        <w:trPr>
          <w:trHeight w:val="201"/>
        </w:trPr>
        <w:tc>
          <w:tcPr>
            <w:tcW w:w="3843" w:type="dxa"/>
            <w:tcBorders>
              <w:top w:val="nil"/>
              <w:left w:val="nil"/>
              <w:bottom w:val="single" w:sz="4" w:space="0" w:color="auto"/>
              <w:right w:val="nil"/>
            </w:tcBorders>
            <w:shd w:val="clear" w:color="auto" w:fill="auto"/>
            <w:noWrap/>
            <w:vAlign w:val="center"/>
            <w:hideMark/>
          </w:tcPr>
          <w:p w:rsidR="00A978C0" w:rsidRPr="00034BDD" w:rsidRDefault="00A978C0" w:rsidP="00C124E3">
            <w:pPr>
              <w:spacing w:after="0" w:line="240" w:lineRule="auto"/>
              <w:rPr>
                <w:rFonts w:eastAsia="Times New Roman" w:cs="Times New Roman"/>
                <w:color w:val="000000"/>
                <w:sz w:val="20"/>
                <w:szCs w:val="20"/>
                <w:lang w:eastAsia="cs-CZ"/>
              </w:rPr>
            </w:pPr>
            <w:proofErr w:type="spellStart"/>
            <w:r w:rsidRPr="00034BDD">
              <w:rPr>
                <w:rFonts w:eastAsia="Times New Roman" w:cs="Times New Roman"/>
                <w:color w:val="000000"/>
                <w:sz w:val="20"/>
                <w:szCs w:val="20"/>
                <w:lang w:eastAsia="cs-CZ"/>
              </w:rPr>
              <w:t>Mn</w:t>
            </w:r>
            <w:proofErr w:type="spellEnd"/>
            <w:r w:rsidRPr="00034BDD">
              <w:rPr>
                <w:rFonts w:eastAsia="Times New Roman" w:cs="Times New Roman"/>
                <w:color w:val="000000"/>
                <w:sz w:val="20"/>
                <w:szCs w:val="20"/>
                <w:lang w:eastAsia="cs-CZ"/>
              </w:rPr>
              <w:t xml:space="preserve"> (mg/l)</w:t>
            </w:r>
          </w:p>
        </w:tc>
        <w:tc>
          <w:tcPr>
            <w:tcW w:w="2380" w:type="dxa"/>
            <w:tcBorders>
              <w:top w:val="nil"/>
              <w:left w:val="nil"/>
              <w:bottom w:val="single" w:sz="4" w:space="0" w:color="auto"/>
              <w:right w:val="nil"/>
            </w:tcBorders>
            <w:shd w:val="clear" w:color="auto" w:fill="auto"/>
            <w:noWrap/>
            <w:vAlign w:val="center"/>
            <w:hideMark/>
          </w:tcPr>
          <w:p w:rsidR="00A978C0" w:rsidRPr="00034BDD" w:rsidRDefault="00A978C0" w:rsidP="00C124E3">
            <w:pPr>
              <w:spacing w:after="0" w:line="240" w:lineRule="auto"/>
              <w:jc w:val="center"/>
              <w:rPr>
                <w:rFonts w:eastAsia="Times New Roman" w:cs="Times New Roman"/>
                <w:color w:val="000000"/>
                <w:sz w:val="20"/>
                <w:szCs w:val="20"/>
                <w:lang w:eastAsia="cs-CZ"/>
              </w:rPr>
            </w:pPr>
            <w:r w:rsidRPr="00034BDD">
              <w:rPr>
                <w:rFonts w:eastAsia="Times New Roman" w:cs="Times New Roman"/>
                <w:color w:val="000000"/>
                <w:sz w:val="20"/>
                <w:szCs w:val="20"/>
                <w:lang w:eastAsia="cs-CZ"/>
              </w:rPr>
              <w:t>0,17</w:t>
            </w:r>
          </w:p>
        </w:tc>
        <w:tc>
          <w:tcPr>
            <w:tcW w:w="2380" w:type="dxa"/>
            <w:tcBorders>
              <w:top w:val="nil"/>
              <w:left w:val="nil"/>
              <w:bottom w:val="single" w:sz="4" w:space="0" w:color="auto"/>
              <w:right w:val="nil"/>
            </w:tcBorders>
            <w:shd w:val="clear" w:color="auto" w:fill="auto"/>
            <w:noWrap/>
            <w:vAlign w:val="center"/>
            <w:hideMark/>
          </w:tcPr>
          <w:p w:rsidR="00A978C0" w:rsidRPr="00034BDD" w:rsidRDefault="00A978C0" w:rsidP="00C124E3">
            <w:pPr>
              <w:spacing w:after="0" w:line="240" w:lineRule="auto"/>
              <w:jc w:val="center"/>
              <w:rPr>
                <w:rFonts w:eastAsia="Times New Roman" w:cs="Times New Roman"/>
                <w:color w:val="000000"/>
                <w:sz w:val="20"/>
                <w:szCs w:val="20"/>
                <w:lang w:eastAsia="cs-CZ"/>
              </w:rPr>
            </w:pPr>
            <w:r w:rsidRPr="00034BDD">
              <w:rPr>
                <w:rFonts w:eastAsia="Times New Roman" w:cs="Times New Roman"/>
                <w:color w:val="000000"/>
                <w:sz w:val="20"/>
                <w:szCs w:val="20"/>
                <w:lang w:eastAsia="cs-CZ"/>
              </w:rPr>
              <w:t>˂0,02</w:t>
            </w:r>
          </w:p>
        </w:tc>
      </w:tr>
      <w:tr w:rsidR="006D7B32" w:rsidRPr="00034BDD" w:rsidTr="00B71F51">
        <w:trPr>
          <w:trHeight w:val="201"/>
        </w:trPr>
        <w:tc>
          <w:tcPr>
            <w:tcW w:w="3843" w:type="dxa"/>
            <w:tcBorders>
              <w:top w:val="nil"/>
              <w:left w:val="nil"/>
              <w:bottom w:val="single" w:sz="4" w:space="0" w:color="auto"/>
              <w:right w:val="nil"/>
            </w:tcBorders>
            <w:shd w:val="clear" w:color="auto" w:fill="auto"/>
            <w:noWrap/>
            <w:vAlign w:val="center"/>
            <w:hideMark/>
          </w:tcPr>
          <w:p w:rsidR="00A978C0" w:rsidRPr="00034BDD" w:rsidRDefault="00A978C0" w:rsidP="00C124E3">
            <w:pPr>
              <w:spacing w:after="0" w:line="240" w:lineRule="auto"/>
              <w:rPr>
                <w:rFonts w:eastAsia="Times New Roman" w:cs="Times New Roman"/>
                <w:color w:val="000000"/>
                <w:sz w:val="20"/>
                <w:szCs w:val="20"/>
                <w:lang w:eastAsia="cs-CZ"/>
              </w:rPr>
            </w:pPr>
            <w:r w:rsidRPr="00034BDD">
              <w:rPr>
                <w:rFonts w:eastAsia="Times New Roman" w:cs="Times New Roman"/>
                <w:color w:val="000000"/>
                <w:sz w:val="20"/>
                <w:szCs w:val="20"/>
                <w:lang w:eastAsia="cs-CZ"/>
              </w:rPr>
              <w:t xml:space="preserve">počet </w:t>
            </w:r>
            <w:r w:rsidR="009504D5" w:rsidRPr="00034BDD">
              <w:rPr>
                <w:rFonts w:eastAsia="Times New Roman" w:cs="Times New Roman"/>
                <w:color w:val="000000"/>
                <w:sz w:val="20"/>
                <w:szCs w:val="20"/>
                <w:lang w:eastAsia="cs-CZ"/>
              </w:rPr>
              <w:t>jednobuněčných zelených řas</w:t>
            </w:r>
            <w:r w:rsidRPr="00034BDD">
              <w:rPr>
                <w:rFonts w:eastAsia="Times New Roman" w:cs="Times New Roman"/>
                <w:color w:val="000000"/>
                <w:sz w:val="20"/>
                <w:szCs w:val="20"/>
                <w:lang w:eastAsia="cs-CZ"/>
              </w:rPr>
              <w:t xml:space="preserve"> (jedinci/ml)</w:t>
            </w:r>
          </w:p>
        </w:tc>
        <w:tc>
          <w:tcPr>
            <w:tcW w:w="2380" w:type="dxa"/>
            <w:tcBorders>
              <w:top w:val="nil"/>
              <w:left w:val="nil"/>
              <w:bottom w:val="single" w:sz="4" w:space="0" w:color="auto"/>
              <w:right w:val="nil"/>
            </w:tcBorders>
            <w:shd w:val="clear" w:color="auto" w:fill="auto"/>
            <w:noWrap/>
            <w:vAlign w:val="center"/>
            <w:hideMark/>
          </w:tcPr>
          <w:p w:rsidR="00A978C0" w:rsidRPr="00034BDD" w:rsidRDefault="00A978C0" w:rsidP="00C124E3">
            <w:pPr>
              <w:spacing w:after="0" w:line="240" w:lineRule="auto"/>
              <w:jc w:val="center"/>
              <w:rPr>
                <w:rFonts w:eastAsia="Times New Roman" w:cs="Times New Roman"/>
                <w:color w:val="000000"/>
                <w:sz w:val="20"/>
                <w:szCs w:val="20"/>
                <w:lang w:eastAsia="cs-CZ"/>
              </w:rPr>
            </w:pPr>
            <w:r w:rsidRPr="00034BDD">
              <w:rPr>
                <w:rFonts w:eastAsia="Times New Roman" w:cs="Times New Roman"/>
                <w:color w:val="000000"/>
                <w:sz w:val="20"/>
                <w:szCs w:val="20"/>
                <w:lang w:eastAsia="cs-CZ"/>
              </w:rPr>
              <w:t>880</w:t>
            </w:r>
          </w:p>
        </w:tc>
        <w:tc>
          <w:tcPr>
            <w:tcW w:w="2380" w:type="dxa"/>
            <w:tcBorders>
              <w:top w:val="nil"/>
              <w:left w:val="nil"/>
              <w:bottom w:val="single" w:sz="4" w:space="0" w:color="auto"/>
              <w:right w:val="nil"/>
            </w:tcBorders>
            <w:shd w:val="clear" w:color="auto" w:fill="auto"/>
            <w:noWrap/>
            <w:vAlign w:val="center"/>
            <w:hideMark/>
          </w:tcPr>
          <w:p w:rsidR="00A978C0" w:rsidRPr="00034BDD" w:rsidRDefault="00A978C0" w:rsidP="00C124E3">
            <w:pPr>
              <w:spacing w:after="0" w:line="240" w:lineRule="auto"/>
              <w:jc w:val="center"/>
              <w:rPr>
                <w:rFonts w:eastAsia="Times New Roman" w:cs="Times New Roman"/>
                <w:color w:val="000000"/>
                <w:sz w:val="20"/>
                <w:szCs w:val="20"/>
                <w:lang w:eastAsia="cs-CZ"/>
              </w:rPr>
            </w:pPr>
            <w:r w:rsidRPr="00034BDD">
              <w:rPr>
                <w:rFonts w:eastAsia="Times New Roman" w:cs="Times New Roman"/>
                <w:color w:val="000000"/>
                <w:sz w:val="20"/>
                <w:szCs w:val="20"/>
                <w:lang w:eastAsia="cs-CZ"/>
              </w:rPr>
              <w:t>7600</w:t>
            </w:r>
          </w:p>
        </w:tc>
      </w:tr>
      <w:tr w:rsidR="006D7B32" w:rsidRPr="00034BDD" w:rsidTr="00B71F51">
        <w:trPr>
          <w:trHeight w:val="201"/>
        </w:trPr>
        <w:tc>
          <w:tcPr>
            <w:tcW w:w="3843" w:type="dxa"/>
            <w:tcBorders>
              <w:top w:val="nil"/>
              <w:left w:val="nil"/>
              <w:bottom w:val="single" w:sz="4" w:space="0" w:color="auto"/>
              <w:right w:val="nil"/>
            </w:tcBorders>
            <w:shd w:val="clear" w:color="auto" w:fill="auto"/>
            <w:noWrap/>
            <w:vAlign w:val="center"/>
            <w:hideMark/>
          </w:tcPr>
          <w:p w:rsidR="00A978C0" w:rsidRPr="00034BDD" w:rsidRDefault="00A978C0" w:rsidP="00C124E3">
            <w:pPr>
              <w:spacing w:after="0" w:line="240" w:lineRule="auto"/>
              <w:rPr>
                <w:rFonts w:eastAsia="Times New Roman" w:cs="Times New Roman"/>
                <w:color w:val="000000"/>
                <w:sz w:val="20"/>
                <w:szCs w:val="20"/>
                <w:lang w:eastAsia="cs-CZ"/>
              </w:rPr>
            </w:pPr>
            <w:proofErr w:type="spellStart"/>
            <w:r w:rsidRPr="00034BDD">
              <w:rPr>
                <w:rFonts w:eastAsia="Times New Roman" w:cs="Times New Roman"/>
                <w:color w:val="000000"/>
                <w:sz w:val="20"/>
                <w:szCs w:val="20"/>
                <w:lang w:eastAsia="cs-CZ"/>
              </w:rPr>
              <w:t>abioseston</w:t>
            </w:r>
            <w:proofErr w:type="spellEnd"/>
            <w:r w:rsidRPr="00034BDD">
              <w:rPr>
                <w:rFonts w:eastAsia="Times New Roman" w:cs="Times New Roman"/>
                <w:color w:val="000000"/>
                <w:sz w:val="20"/>
                <w:szCs w:val="20"/>
                <w:lang w:eastAsia="cs-CZ"/>
              </w:rPr>
              <w:t xml:space="preserve"> %</w:t>
            </w:r>
          </w:p>
        </w:tc>
        <w:tc>
          <w:tcPr>
            <w:tcW w:w="2380" w:type="dxa"/>
            <w:tcBorders>
              <w:top w:val="nil"/>
              <w:left w:val="nil"/>
              <w:bottom w:val="single" w:sz="4" w:space="0" w:color="auto"/>
              <w:right w:val="nil"/>
            </w:tcBorders>
            <w:shd w:val="clear" w:color="auto" w:fill="auto"/>
            <w:noWrap/>
            <w:vAlign w:val="center"/>
            <w:hideMark/>
          </w:tcPr>
          <w:p w:rsidR="00A978C0" w:rsidRPr="00034BDD" w:rsidRDefault="00A978C0" w:rsidP="00C124E3">
            <w:pPr>
              <w:spacing w:after="0" w:line="240" w:lineRule="auto"/>
              <w:jc w:val="center"/>
              <w:rPr>
                <w:rFonts w:eastAsia="Times New Roman" w:cs="Times New Roman"/>
                <w:color w:val="000000"/>
                <w:sz w:val="20"/>
                <w:szCs w:val="20"/>
                <w:lang w:eastAsia="cs-CZ"/>
              </w:rPr>
            </w:pPr>
            <w:r w:rsidRPr="00034BDD">
              <w:rPr>
                <w:rFonts w:eastAsia="Times New Roman" w:cs="Times New Roman"/>
                <w:color w:val="000000"/>
                <w:sz w:val="20"/>
                <w:szCs w:val="20"/>
                <w:lang w:eastAsia="cs-CZ"/>
              </w:rPr>
              <w:t>3</w:t>
            </w:r>
          </w:p>
        </w:tc>
        <w:tc>
          <w:tcPr>
            <w:tcW w:w="2380" w:type="dxa"/>
            <w:tcBorders>
              <w:top w:val="nil"/>
              <w:left w:val="nil"/>
              <w:bottom w:val="single" w:sz="4" w:space="0" w:color="auto"/>
              <w:right w:val="nil"/>
            </w:tcBorders>
            <w:shd w:val="clear" w:color="auto" w:fill="auto"/>
            <w:noWrap/>
            <w:vAlign w:val="center"/>
            <w:hideMark/>
          </w:tcPr>
          <w:p w:rsidR="00A978C0" w:rsidRPr="00034BDD" w:rsidRDefault="00A978C0" w:rsidP="00C124E3">
            <w:pPr>
              <w:spacing w:after="0" w:line="240" w:lineRule="auto"/>
              <w:jc w:val="center"/>
              <w:rPr>
                <w:rFonts w:eastAsia="Times New Roman" w:cs="Times New Roman"/>
                <w:color w:val="000000"/>
                <w:sz w:val="20"/>
                <w:szCs w:val="20"/>
                <w:lang w:eastAsia="cs-CZ"/>
              </w:rPr>
            </w:pPr>
            <w:r w:rsidRPr="00034BDD">
              <w:rPr>
                <w:rFonts w:eastAsia="Times New Roman" w:cs="Times New Roman"/>
                <w:color w:val="000000"/>
                <w:sz w:val="20"/>
                <w:szCs w:val="20"/>
                <w:lang w:eastAsia="cs-CZ"/>
              </w:rPr>
              <w:t>3</w:t>
            </w:r>
          </w:p>
        </w:tc>
      </w:tr>
      <w:tr w:rsidR="006D7B32" w:rsidRPr="00034BDD" w:rsidTr="00B71F51">
        <w:trPr>
          <w:trHeight w:val="387"/>
        </w:trPr>
        <w:tc>
          <w:tcPr>
            <w:tcW w:w="3843" w:type="dxa"/>
            <w:tcBorders>
              <w:top w:val="nil"/>
              <w:left w:val="nil"/>
              <w:bottom w:val="single" w:sz="4" w:space="0" w:color="auto"/>
              <w:right w:val="nil"/>
            </w:tcBorders>
            <w:shd w:val="clear" w:color="auto" w:fill="auto"/>
            <w:vAlign w:val="center"/>
            <w:hideMark/>
          </w:tcPr>
          <w:p w:rsidR="00A978C0" w:rsidRPr="00034BDD" w:rsidRDefault="00A978C0" w:rsidP="009504D5">
            <w:pPr>
              <w:spacing w:after="0" w:line="240" w:lineRule="auto"/>
              <w:rPr>
                <w:rFonts w:eastAsia="Times New Roman" w:cs="Times New Roman"/>
                <w:color w:val="000000"/>
                <w:sz w:val="20"/>
                <w:szCs w:val="20"/>
                <w:lang w:eastAsia="cs-CZ"/>
              </w:rPr>
            </w:pPr>
            <w:proofErr w:type="spellStart"/>
            <w:r w:rsidRPr="00034BDD">
              <w:rPr>
                <w:rFonts w:eastAsia="Times New Roman" w:cs="Times New Roman"/>
                <w:i/>
                <w:iCs/>
                <w:color w:val="000000"/>
                <w:sz w:val="20"/>
                <w:szCs w:val="20"/>
                <w:lang w:eastAsia="cs-CZ"/>
              </w:rPr>
              <w:t>Daphnia</w:t>
            </w:r>
            <w:proofErr w:type="spellEnd"/>
            <w:r w:rsidRPr="00034BDD">
              <w:rPr>
                <w:rFonts w:eastAsia="Times New Roman" w:cs="Times New Roman"/>
                <w:color w:val="000000"/>
                <w:sz w:val="20"/>
                <w:szCs w:val="20"/>
                <w:lang w:eastAsia="cs-CZ"/>
              </w:rPr>
              <w:t xml:space="preserve"> </w:t>
            </w:r>
            <w:proofErr w:type="spellStart"/>
            <w:r w:rsidRPr="00034BDD">
              <w:rPr>
                <w:rFonts w:eastAsia="Times New Roman" w:cs="Times New Roman"/>
                <w:color w:val="000000"/>
                <w:sz w:val="20"/>
                <w:szCs w:val="20"/>
                <w:lang w:eastAsia="cs-CZ"/>
              </w:rPr>
              <w:t>sp</w:t>
            </w:r>
            <w:proofErr w:type="spellEnd"/>
            <w:r w:rsidRPr="00034BDD">
              <w:rPr>
                <w:rFonts w:eastAsia="Times New Roman" w:cs="Times New Roman"/>
                <w:color w:val="000000"/>
                <w:sz w:val="20"/>
                <w:szCs w:val="20"/>
                <w:lang w:eastAsia="cs-CZ"/>
              </w:rPr>
              <w:t xml:space="preserve">. </w:t>
            </w:r>
          </w:p>
        </w:tc>
        <w:tc>
          <w:tcPr>
            <w:tcW w:w="2380" w:type="dxa"/>
            <w:tcBorders>
              <w:top w:val="nil"/>
              <w:left w:val="nil"/>
              <w:bottom w:val="single" w:sz="4" w:space="0" w:color="auto"/>
              <w:right w:val="nil"/>
            </w:tcBorders>
            <w:shd w:val="clear" w:color="auto" w:fill="auto"/>
            <w:noWrap/>
            <w:vAlign w:val="center"/>
            <w:hideMark/>
          </w:tcPr>
          <w:p w:rsidR="00A978C0" w:rsidRPr="00034BDD" w:rsidRDefault="009504D5" w:rsidP="00C124E3">
            <w:pPr>
              <w:spacing w:after="0" w:line="240" w:lineRule="auto"/>
              <w:jc w:val="center"/>
              <w:rPr>
                <w:rFonts w:eastAsia="Times New Roman" w:cs="Times New Roman"/>
                <w:color w:val="000000"/>
                <w:sz w:val="20"/>
                <w:szCs w:val="20"/>
                <w:lang w:eastAsia="cs-CZ"/>
              </w:rPr>
            </w:pPr>
            <w:r w:rsidRPr="00034BDD">
              <w:rPr>
                <w:rFonts w:eastAsia="Times New Roman" w:cs="Times New Roman"/>
                <w:color w:val="000000"/>
                <w:sz w:val="20"/>
                <w:szCs w:val="20"/>
                <w:lang w:eastAsia="cs-CZ"/>
              </w:rPr>
              <w:t>+</w:t>
            </w:r>
          </w:p>
        </w:tc>
        <w:tc>
          <w:tcPr>
            <w:tcW w:w="2380" w:type="dxa"/>
            <w:tcBorders>
              <w:top w:val="nil"/>
              <w:left w:val="nil"/>
              <w:bottom w:val="single" w:sz="4" w:space="0" w:color="auto"/>
              <w:right w:val="nil"/>
            </w:tcBorders>
            <w:shd w:val="clear" w:color="auto" w:fill="auto"/>
            <w:noWrap/>
            <w:vAlign w:val="center"/>
            <w:hideMark/>
          </w:tcPr>
          <w:p w:rsidR="00A978C0" w:rsidRPr="00034BDD" w:rsidRDefault="009504D5" w:rsidP="00C124E3">
            <w:pPr>
              <w:spacing w:after="0" w:line="240" w:lineRule="auto"/>
              <w:jc w:val="center"/>
              <w:rPr>
                <w:rFonts w:eastAsia="Times New Roman" w:cs="Times New Roman"/>
                <w:color w:val="000000"/>
                <w:sz w:val="20"/>
                <w:szCs w:val="20"/>
                <w:lang w:eastAsia="cs-CZ"/>
              </w:rPr>
            </w:pPr>
            <w:r w:rsidRPr="00034BDD">
              <w:rPr>
                <w:rFonts w:eastAsia="Times New Roman" w:cs="Times New Roman"/>
                <w:color w:val="000000"/>
                <w:sz w:val="20"/>
                <w:szCs w:val="20"/>
                <w:lang w:eastAsia="cs-CZ"/>
              </w:rPr>
              <w:t>–</w:t>
            </w:r>
          </w:p>
        </w:tc>
      </w:tr>
    </w:tbl>
    <w:p w:rsidR="00F56CC9" w:rsidRPr="00034BDD" w:rsidRDefault="00F56CC9" w:rsidP="00C124E3">
      <w:pPr>
        <w:spacing w:after="0" w:line="240" w:lineRule="auto"/>
        <w:jc w:val="both"/>
        <w:rPr>
          <w:i/>
          <w:sz w:val="20"/>
          <w:szCs w:val="20"/>
        </w:rPr>
      </w:pPr>
    </w:p>
    <w:p w:rsidR="004D6E89" w:rsidRPr="00034BDD" w:rsidRDefault="006D7B32" w:rsidP="00C124E3">
      <w:pPr>
        <w:spacing w:after="0" w:line="240" w:lineRule="auto"/>
        <w:jc w:val="both"/>
        <w:rPr>
          <w:sz w:val="20"/>
          <w:szCs w:val="20"/>
        </w:rPr>
      </w:pPr>
      <w:r w:rsidRPr="00034BDD">
        <w:rPr>
          <w:sz w:val="20"/>
          <w:szCs w:val="20"/>
        </w:rPr>
        <w:t xml:space="preserve">Na základě fyzikálně-chemického rozboru vody bylo vysloveno podezření, že příčinou kyslíkového deficitu je přemnožení </w:t>
      </w:r>
      <w:r w:rsidR="00EA427C" w:rsidRPr="00034BDD">
        <w:rPr>
          <w:sz w:val="20"/>
          <w:szCs w:val="20"/>
        </w:rPr>
        <w:t xml:space="preserve">hrubého </w:t>
      </w:r>
      <w:proofErr w:type="spellStart"/>
      <w:r w:rsidR="00EA427C" w:rsidRPr="00034BDD">
        <w:rPr>
          <w:sz w:val="20"/>
          <w:szCs w:val="20"/>
        </w:rPr>
        <w:t>dafniového</w:t>
      </w:r>
      <w:proofErr w:type="spellEnd"/>
      <w:r w:rsidR="00EA427C" w:rsidRPr="00034BDD">
        <w:rPr>
          <w:sz w:val="20"/>
          <w:szCs w:val="20"/>
        </w:rPr>
        <w:t xml:space="preserve"> zooplanktonu </w:t>
      </w:r>
      <w:r w:rsidR="008E4F05" w:rsidRPr="00034BDD">
        <w:rPr>
          <w:sz w:val="20"/>
          <w:szCs w:val="20"/>
        </w:rPr>
        <w:t>a jeho predace</w:t>
      </w:r>
      <w:r w:rsidR="001D3A83" w:rsidRPr="00034BDD">
        <w:rPr>
          <w:sz w:val="20"/>
          <w:szCs w:val="20"/>
        </w:rPr>
        <w:t xml:space="preserve"> na fytoplanktonu</w:t>
      </w:r>
      <w:r w:rsidR="00444F8C" w:rsidRPr="00034BDD">
        <w:rPr>
          <w:sz w:val="20"/>
          <w:szCs w:val="20"/>
        </w:rPr>
        <w:t xml:space="preserve">. </w:t>
      </w:r>
      <w:r w:rsidRPr="00034BDD">
        <w:rPr>
          <w:sz w:val="20"/>
          <w:szCs w:val="20"/>
        </w:rPr>
        <w:t xml:space="preserve">Jako vhodné řešení situace se jevilo použití </w:t>
      </w:r>
      <w:r w:rsidR="004D6E89" w:rsidRPr="00034BDD">
        <w:rPr>
          <w:sz w:val="20"/>
          <w:szCs w:val="20"/>
        </w:rPr>
        <w:t xml:space="preserve">superfosfátu pro podporu růstu fytoplanktonu. </w:t>
      </w:r>
      <w:r w:rsidR="00F56CC9" w:rsidRPr="00034BDD">
        <w:rPr>
          <w:sz w:val="20"/>
          <w:szCs w:val="20"/>
        </w:rPr>
        <w:t xml:space="preserve">S aplikací superfosfátu se </w:t>
      </w:r>
      <w:r w:rsidR="00207393" w:rsidRPr="00034BDD">
        <w:rPr>
          <w:sz w:val="20"/>
          <w:szCs w:val="20"/>
        </w:rPr>
        <w:t xml:space="preserve">však </w:t>
      </w:r>
      <w:r w:rsidR="00F56CC9" w:rsidRPr="00034BDD">
        <w:rPr>
          <w:sz w:val="20"/>
          <w:szCs w:val="20"/>
        </w:rPr>
        <w:t>muselo po</w:t>
      </w:r>
      <w:r w:rsidR="00207393" w:rsidRPr="00034BDD">
        <w:rPr>
          <w:sz w:val="20"/>
          <w:szCs w:val="20"/>
        </w:rPr>
        <w:t xml:space="preserve">čkat </w:t>
      </w:r>
      <w:r w:rsidR="00207393" w:rsidRPr="00034BDD">
        <w:rPr>
          <w:sz w:val="20"/>
          <w:szCs w:val="20"/>
        </w:rPr>
        <w:lastRenderedPageBreak/>
        <w:t>zhruba jeden</w:t>
      </w:r>
      <w:r w:rsidR="00F56CC9" w:rsidRPr="00034BDD">
        <w:rPr>
          <w:sz w:val="20"/>
          <w:szCs w:val="20"/>
        </w:rPr>
        <w:t xml:space="preserve"> týden kvůli ochlazení. </w:t>
      </w:r>
      <w:r w:rsidR="004D6E89" w:rsidRPr="00034BDD">
        <w:rPr>
          <w:sz w:val="20"/>
          <w:szCs w:val="20"/>
        </w:rPr>
        <w:t xml:space="preserve">Superfosfát byl aplikován </w:t>
      </w:r>
      <w:r w:rsidR="00F56CC9" w:rsidRPr="00034BDD">
        <w:rPr>
          <w:sz w:val="20"/>
          <w:szCs w:val="20"/>
        </w:rPr>
        <w:t xml:space="preserve">jednorázově na začátku listopadu 2014 </w:t>
      </w:r>
      <w:r w:rsidR="004D6E89" w:rsidRPr="00034BDD">
        <w:rPr>
          <w:sz w:val="20"/>
          <w:szCs w:val="20"/>
        </w:rPr>
        <w:t>v rozpuštěné formě</w:t>
      </w:r>
      <w:r w:rsidR="00F56CC9" w:rsidRPr="00034BDD">
        <w:rPr>
          <w:sz w:val="20"/>
          <w:szCs w:val="20"/>
        </w:rPr>
        <w:t xml:space="preserve"> z loďky</w:t>
      </w:r>
      <w:r w:rsidR="004D6E89" w:rsidRPr="00034BDD">
        <w:rPr>
          <w:sz w:val="20"/>
          <w:szCs w:val="20"/>
        </w:rPr>
        <w:t xml:space="preserve"> v dávce </w:t>
      </w:r>
      <w:r w:rsidR="00F56CC9" w:rsidRPr="00034BDD">
        <w:rPr>
          <w:sz w:val="20"/>
          <w:szCs w:val="20"/>
        </w:rPr>
        <w:t>6 mg/l</w:t>
      </w:r>
      <w:r w:rsidR="004D6E89" w:rsidRPr="00034BDD">
        <w:rPr>
          <w:sz w:val="20"/>
          <w:szCs w:val="20"/>
        </w:rPr>
        <w:t xml:space="preserve">. </w:t>
      </w:r>
      <w:r w:rsidR="00F56CC9" w:rsidRPr="00034BDD">
        <w:rPr>
          <w:sz w:val="20"/>
          <w:szCs w:val="20"/>
        </w:rPr>
        <w:t>Koncentrace kyslíku se ve vodě zvyšovala postupně. Na konci měsíce listopadu již byly hodnoty srovnatelné v obou rybnících (cca 12 mg/l). Také k</w:t>
      </w:r>
      <w:r w:rsidR="007E1BB1" w:rsidRPr="00034BDD">
        <w:rPr>
          <w:sz w:val="20"/>
          <w:szCs w:val="20"/>
        </w:rPr>
        <w:t>amenné břehy většího rybní</w:t>
      </w:r>
      <w:r w:rsidR="00F56CC9" w:rsidRPr="00034BDD">
        <w:rPr>
          <w:sz w:val="20"/>
          <w:szCs w:val="20"/>
        </w:rPr>
        <w:t>ku se opět zbarvily do zelena.</w:t>
      </w:r>
    </w:p>
    <w:p w:rsidR="00207393" w:rsidRPr="00034BDD" w:rsidRDefault="00207393" w:rsidP="00C124E3">
      <w:pPr>
        <w:spacing w:after="0" w:line="240" w:lineRule="auto"/>
        <w:jc w:val="both"/>
        <w:rPr>
          <w:sz w:val="20"/>
          <w:szCs w:val="20"/>
        </w:rPr>
      </w:pPr>
    </w:p>
    <w:p w:rsidR="002D6AAB" w:rsidRPr="002B54DE" w:rsidRDefault="008F2694" w:rsidP="00C124E3">
      <w:pPr>
        <w:spacing w:after="0" w:line="240" w:lineRule="auto"/>
        <w:jc w:val="both"/>
        <w:rPr>
          <w:sz w:val="20"/>
          <w:szCs w:val="20"/>
          <w:u w:val="single"/>
        </w:rPr>
      </w:pPr>
      <w:r w:rsidRPr="002B54DE">
        <w:rPr>
          <w:sz w:val="20"/>
          <w:szCs w:val="20"/>
          <w:u w:val="single"/>
        </w:rPr>
        <w:t>Diskuze</w:t>
      </w:r>
    </w:p>
    <w:p w:rsidR="007E1BB1" w:rsidRPr="00034BDD" w:rsidRDefault="001D03B0" w:rsidP="00C124E3">
      <w:pPr>
        <w:spacing w:after="0" w:line="240" w:lineRule="auto"/>
        <w:jc w:val="both"/>
        <w:rPr>
          <w:sz w:val="20"/>
          <w:szCs w:val="20"/>
        </w:rPr>
      </w:pPr>
      <w:r w:rsidRPr="00034BDD">
        <w:rPr>
          <w:sz w:val="20"/>
          <w:szCs w:val="20"/>
        </w:rPr>
        <w:t>K přemnožení zooplan</w:t>
      </w:r>
      <w:r w:rsidR="001D3A83" w:rsidRPr="00034BDD">
        <w:rPr>
          <w:sz w:val="20"/>
          <w:szCs w:val="20"/>
        </w:rPr>
        <w:t xml:space="preserve">ktonu dochází typicky především na jaře </w:t>
      </w:r>
      <w:r w:rsidR="00666C01" w:rsidRPr="00034BDD">
        <w:rPr>
          <w:sz w:val="20"/>
          <w:szCs w:val="20"/>
        </w:rPr>
        <w:t xml:space="preserve">a v létě </w:t>
      </w:r>
      <w:r w:rsidR="001D3A83" w:rsidRPr="00034BDD">
        <w:rPr>
          <w:sz w:val="20"/>
          <w:szCs w:val="20"/>
        </w:rPr>
        <w:t>z důvodu vysokého obsahu živin a následného rozvoje fytoplankt</w:t>
      </w:r>
      <w:r w:rsidR="00666C01" w:rsidRPr="00034BDD">
        <w:rPr>
          <w:sz w:val="20"/>
          <w:szCs w:val="20"/>
        </w:rPr>
        <w:t>on</w:t>
      </w:r>
      <w:r w:rsidR="00736802" w:rsidRPr="00034BDD">
        <w:rPr>
          <w:sz w:val="20"/>
          <w:szCs w:val="20"/>
        </w:rPr>
        <w:t>u</w:t>
      </w:r>
      <w:r w:rsidR="00666C01" w:rsidRPr="00034BDD">
        <w:rPr>
          <w:sz w:val="20"/>
          <w:szCs w:val="20"/>
        </w:rPr>
        <w:t>. Pokud rybí obsádka není optimální, nestačí redukovat</w:t>
      </w:r>
      <w:r w:rsidR="00F314B9" w:rsidRPr="00034BDD">
        <w:rPr>
          <w:sz w:val="20"/>
          <w:szCs w:val="20"/>
        </w:rPr>
        <w:t xml:space="preserve"> narůstající zooplankton a m</w:t>
      </w:r>
      <w:r w:rsidR="00666C01" w:rsidRPr="00034BDD">
        <w:rPr>
          <w:sz w:val="20"/>
          <w:szCs w:val="20"/>
        </w:rPr>
        <w:t>ůže tak dojít k jeho přemnožení za současného poklesu</w:t>
      </w:r>
      <w:r w:rsidR="00736802" w:rsidRPr="00034BDD">
        <w:rPr>
          <w:sz w:val="20"/>
          <w:szCs w:val="20"/>
        </w:rPr>
        <w:t xml:space="preserve"> koncentrace fytoplanktonu.</w:t>
      </w:r>
      <w:r w:rsidR="00666C01" w:rsidRPr="00034BDD">
        <w:rPr>
          <w:sz w:val="20"/>
          <w:szCs w:val="20"/>
        </w:rPr>
        <w:t xml:space="preserve">  </w:t>
      </w:r>
      <w:r w:rsidR="00EF350F" w:rsidRPr="00034BDD">
        <w:rPr>
          <w:sz w:val="20"/>
          <w:szCs w:val="20"/>
        </w:rPr>
        <w:t xml:space="preserve"> V popisovaném případě však k přemnožení zooplanktonu došlo netypicky na podzim. </w:t>
      </w:r>
      <w:r w:rsidR="00736802" w:rsidRPr="00034BDD">
        <w:rPr>
          <w:sz w:val="20"/>
          <w:szCs w:val="20"/>
        </w:rPr>
        <w:t>Nicméně p</w:t>
      </w:r>
      <w:r w:rsidR="00EF350F" w:rsidRPr="00034BDD">
        <w:rPr>
          <w:sz w:val="20"/>
          <w:szCs w:val="20"/>
        </w:rPr>
        <w:t xml:space="preserve">růměrné denní teploty </w:t>
      </w:r>
      <w:r w:rsidR="00736802" w:rsidRPr="00034BDD">
        <w:rPr>
          <w:sz w:val="20"/>
          <w:szCs w:val="20"/>
        </w:rPr>
        <w:t xml:space="preserve">zejména </w:t>
      </w:r>
      <w:r w:rsidR="00EF350F" w:rsidRPr="00034BDD">
        <w:rPr>
          <w:sz w:val="20"/>
          <w:szCs w:val="20"/>
        </w:rPr>
        <w:t>v</w:t>
      </w:r>
      <w:r w:rsidR="008E4F05" w:rsidRPr="00034BDD">
        <w:rPr>
          <w:sz w:val="20"/>
          <w:szCs w:val="20"/>
        </w:rPr>
        <w:t> první polovině</w:t>
      </w:r>
      <w:r w:rsidR="00EF350F" w:rsidRPr="00034BDD">
        <w:rPr>
          <w:sz w:val="20"/>
          <w:szCs w:val="20"/>
        </w:rPr>
        <w:t xml:space="preserve"> měsíce října byly v dané lokalitě nadst</w:t>
      </w:r>
      <w:r w:rsidR="00F56CC9" w:rsidRPr="00034BDD">
        <w:rPr>
          <w:sz w:val="20"/>
          <w:szCs w:val="20"/>
        </w:rPr>
        <w:t>andardně vysoké (14,8 ± 1,3 °C).</w:t>
      </w:r>
    </w:p>
    <w:p w:rsidR="00207393" w:rsidRPr="00034BDD" w:rsidRDefault="00207393" w:rsidP="00C124E3">
      <w:pPr>
        <w:spacing w:after="0" w:line="240" w:lineRule="auto"/>
        <w:jc w:val="both"/>
        <w:rPr>
          <w:sz w:val="20"/>
          <w:szCs w:val="20"/>
        </w:rPr>
      </w:pPr>
    </w:p>
    <w:p w:rsidR="00207393" w:rsidRPr="00034BDD" w:rsidRDefault="00F314B9" w:rsidP="00C124E3">
      <w:pPr>
        <w:spacing w:after="0" w:line="240" w:lineRule="auto"/>
        <w:jc w:val="both"/>
        <w:rPr>
          <w:sz w:val="20"/>
          <w:szCs w:val="20"/>
        </w:rPr>
      </w:pPr>
      <w:r w:rsidRPr="00034BDD">
        <w:rPr>
          <w:sz w:val="20"/>
          <w:szCs w:val="20"/>
        </w:rPr>
        <w:t>Další příčinou snížené koncentrace fytoplanktonu mohl být nedostatek disponibilního fosforu, který nemusí být odhalen ani stanovením fosforečnanů při chemickém rozboru vody.</w:t>
      </w:r>
      <w:r w:rsidR="00AF2D79" w:rsidRPr="00034BDD">
        <w:rPr>
          <w:sz w:val="20"/>
          <w:szCs w:val="20"/>
        </w:rPr>
        <w:t xml:space="preserve"> V řadě případů bylo prokázáno, že fosfor v podobě fosforečnanů i v relativně vysoké koncentraci (setiny až desetiny mg/l P</w:t>
      </w:r>
      <w:r w:rsidR="009504D5" w:rsidRPr="00034BDD">
        <w:rPr>
          <w:sz w:val="20"/>
          <w:szCs w:val="20"/>
        </w:rPr>
        <w:t>-</w:t>
      </w:r>
      <w:r w:rsidR="00AF2D79" w:rsidRPr="00034BDD">
        <w:rPr>
          <w:sz w:val="20"/>
          <w:szCs w:val="20"/>
        </w:rPr>
        <w:t>PO</w:t>
      </w:r>
      <w:r w:rsidR="00AF2D79" w:rsidRPr="00034BDD">
        <w:rPr>
          <w:sz w:val="20"/>
          <w:szCs w:val="20"/>
          <w:vertAlign w:val="subscript"/>
        </w:rPr>
        <w:t>4</w:t>
      </w:r>
      <w:r w:rsidR="009504D5" w:rsidRPr="00034BDD">
        <w:rPr>
          <w:sz w:val="20"/>
          <w:szCs w:val="20"/>
          <w:vertAlign w:val="superscript"/>
        </w:rPr>
        <w:t>3-</w:t>
      </w:r>
      <w:r w:rsidR="00AF2D79" w:rsidRPr="00034BDD">
        <w:rPr>
          <w:sz w:val="20"/>
          <w:szCs w:val="20"/>
        </w:rPr>
        <w:t>), není z nějakého důvodu dostupný pro přítomný f</w:t>
      </w:r>
      <w:r w:rsidR="002B54DE">
        <w:rPr>
          <w:sz w:val="20"/>
          <w:szCs w:val="20"/>
        </w:rPr>
        <w:t>ytoplankton</w:t>
      </w:r>
      <w:bookmarkStart w:id="0" w:name="_GoBack"/>
      <w:bookmarkEnd w:id="0"/>
      <w:r w:rsidR="00AF2D79" w:rsidRPr="00034BDD">
        <w:rPr>
          <w:sz w:val="20"/>
          <w:szCs w:val="20"/>
        </w:rPr>
        <w:t>. Tuto domněnku potvrzuje i fakt, že po aplikaci superfosfátu došlo k úpravě koncentrace kyslíku v postiženém rybníce.</w:t>
      </w:r>
      <w:r w:rsidR="00F56CC9" w:rsidRPr="00034BDD">
        <w:rPr>
          <w:sz w:val="20"/>
          <w:szCs w:val="20"/>
        </w:rPr>
        <w:t xml:space="preserve"> Jako další přitěžující okolnost může být zvažováno vápnění ryb</w:t>
      </w:r>
      <w:r w:rsidR="007E1BB1" w:rsidRPr="00034BDD">
        <w:rPr>
          <w:sz w:val="20"/>
          <w:szCs w:val="20"/>
        </w:rPr>
        <w:t>níků 14 dní před prvními úhyny a určité organické znečištění vody při ořezu okolních stromů.</w:t>
      </w:r>
    </w:p>
    <w:p w:rsidR="00207393" w:rsidRPr="00034BDD" w:rsidRDefault="00207393" w:rsidP="00C124E3">
      <w:pPr>
        <w:spacing w:after="0" w:line="240" w:lineRule="auto"/>
        <w:jc w:val="both"/>
        <w:rPr>
          <w:sz w:val="20"/>
          <w:szCs w:val="20"/>
        </w:rPr>
      </w:pPr>
    </w:p>
    <w:p w:rsidR="008F2694" w:rsidRPr="00034BDD" w:rsidRDefault="00EF2DF5" w:rsidP="00C124E3">
      <w:pPr>
        <w:spacing w:after="0" w:line="240" w:lineRule="auto"/>
        <w:jc w:val="both"/>
        <w:rPr>
          <w:sz w:val="20"/>
          <w:szCs w:val="20"/>
        </w:rPr>
      </w:pPr>
      <w:r w:rsidRPr="00034BDD">
        <w:rPr>
          <w:sz w:val="20"/>
          <w:szCs w:val="20"/>
        </w:rPr>
        <w:t xml:space="preserve">V popisovaném případě bylo k aplikaci superfosfátu přistoupeno až po selhání jiných metod. Rozhodně by se k ní nemělo přistupovat paušálně a preventivně. Účinnosti této metody v našem případě napomohlo i přetrvávající na podzim poměrně teplé počasí, které představovalo dobré podmínky pro rozvoj fytoplanktonu. </w:t>
      </w:r>
      <w:r w:rsidR="00A62125" w:rsidRPr="00034BDD">
        <w:rPr>
          <w:sz w:val="20"/>
          <w:szCs w:val="20"/>
        </w:rPr>
        <w:t>Je třeba také zdůraznit, že i když se jedná o aplikaci nízkých dávek fosforečného hnojiva, jedná se o opatření</w:t>
      </w:r>
      <w:r w:rsidR="006C4B29" w:rsidRPr="00034BDD">
        <w:rPr>
          <w:sz w:val="20"/>
          <w:szCs w:val="20"/>
        </w:rPr>
        <w:t>,</w:t>
      </w:r>
      <w:r w:rsidR="00A62125" w:rsidRPr="00034BDD">
        <w:rPr>
          <w:sz w:val="20"/>
          <w:szCs w:val="20"/>
        </w:rPr>
        <w:t xml:space="preserve"> </w:t>
      </w:r>
      <w:r w:rsidR="006C4B29" w:rsidRPr="00034BDD">
        <w:rPr>
          <w:sz w:val="20"/>
          <w:szCs w:val="20"/>
        </w:rPr>
        <w:t xml:space="preserve">jehož použití upravuje </w:t>
      </w:r>
      <w:r w:rsidR="00A62125" w:rsidRPr="00034BDD">
        <w:rPr>
          <w:sz w:val="20"/>
          <w:szCs w:val="20"/>
        </w:rPr>
        <w:t>Zákon č. 254/2001 Sb. o vodác</w:t>
      </w:r>
      <w:r w:rsidR="006C4B29" w:rsidRPr="00034BDD">
        <w:rPr>
          <w:sz w:val="20"/>
          <w:szCs w:val="20"/>
        </w:rPr>
        <w:t>h, ve znění pozdějších předpisů (§39, Příloha I).</w:t>
      </w:r>
    </w:p>
    <w:p w:rsidR="00207393" w:rsidRPr="00034BDD" w:rsidRDefault="00207393" w:rsidP="00C124E3">
      <w:pPr>
        <w:spacing w:after="0" w:line="240" w:lineRule="auto"/>
        <w:jc w:val="both"/>
        <w:rPr>
          <w:sz w:val="20"/>
          <w:szCs w:val="20"/>
        </w:rPr>
      </w:pPr>
    </w:p>
    <w:p w:rsidR="008F2694" w:rsidRPr="002B54DE" w:rsidRDefault="008F2694" w:rsidP="00C124E3">
      <w:pPr>
        <w:spacing w:after="0" w:line="240" w:lineRule="auto"/>
        <w:jc w:val="both"/>
        <w:rPr>
          <w:sz w:val="20"/>
          <w:szCs w:val="20"/>
          <w:u w:val="single"/>
        </w:rPr>
      </w:pPr>
      <w:r w:rsidRPr="002B54DE">
        <w:rPr>
          <w:sz w:val="20"/>
          <w:szCs w:val="20"/>
          <w:u w:val="single"/>
        </w:rPr>
        <w:t>Závěr</w:t>
      </w:r>
    </w:p>
    <w:p w:rsidR="00A62125" w:rsidRPr="002B54DE" w:rsidRDefault="007E1BB1" w:rsidP="00C124E3">
      <w:pPr>
        <w:spacing w:after="0" w:line="240" w:lineRule="auto"/>
        <w:jc w:val="both"/>
        <w:rPr>
          <w:sz w:val="20"/>
          <w:szCs w:val="20"/>
        </w:rPr>
      </w:pPr>
      <w:r w:rsidRPr="00034BDD">
        <w:rPr>
          <w:sz w:val="20"/>
          <w:szCs w:val="20"/>
        </w:rPr>
        <w:t>Příčinou úhynu ryb byl kritický deficit kyslíku, k němuž pravděpodobně došlo kombinací několika faktorů, k</w:t>
      </w:r>
      <w:r w:rsidR="00034BDD" w:rsidRPr="00034BDD">
        <w:rPr>
          <w:sz w:val="20"/>
          <w:szCs w:val="20"/>
        </w:rPr>
        <w:t xml:space="preserve">teré sami o sobě </w:t>
      </w:r>
      <w:proofErr w:type="gramStart"/>
      <w:r w:rsidR="00034BDD" w:rsidRPr="00034BDD">
        <w:rPr>
          <w:sz w:val="20"/>
          <w:szCs w:val="20"/>
        </w:rPr>
        <w:t>nepředstavovaly</w:t>
      </w:r>
      <w:proofErr w:type="gramEnd"/>
      <w:r w:rsidRPr="00034BDD">
        <w:rPr>
          <w:sz w:val="20"/>
          <w:szCs w:val="20"/>
        </w:rPr>
        <w:t xml:space="preserve"> vážnou hrozbu, ale dohromady způs</w:t>
      </w:r>
      <w:r w:rsidR="00FA4ADD" w:rsidRPr="00034BDD">
        <w:rPr>
          <w:sz w:val="20"/>
          <w:szCs w:val="20"/>
        </w:rPr>
        <w:t xml:space="preserve">obily úhyn všech dravých druhů </w:t>
      </w:r>
      <w:r w:rsidRPr="00034BDD">
        <w:rPr>
          <w:sz w:val="20"/>
          <w:szCs w:val="20"/>
        </w:rPr>
        <w:t>ryb v rybníce.</w:t>
      </w:r>
    </w:p>
    <w:p w:rsidR="00A62125" w:rsidRPr="00D7510D" w:rsidRDefault="00A62125" w:rsidP="00C124E3">
      <w:pPr>
        <w:spacing w:after="0"/>
        <w:jc w:val="both"/>
        <w:rPr>
          <w:sz w:val="20"/>
          <w:szCs w:val="20"/>
        </w:rPr>
      </w:pPr>
    </w:p>
    <w:sectPr w:rsidR="00A62125" w:rsidRPr="00D751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9AB"/>
    <w:rsid w:val="00034BDD"/>
    <w:rsid w:val="00080074"/>
    <w:rsid w:val="000B7466"/>
    <w:rsid w:val="000E04B3"/>
    <w:rsid w:val="00171EEB"/>
    <w:rsid w:val="00176278"/>
    <w:rsid w:val="001A2BA2"/>
    <w:rsid w:val="001D03B0"/>
    <w:rsid w:val="001D3A83"/>
    <w:rsid w:val="00207393"/>
    <w:rsid w:val="00216148"/>
    <w:rsid w:val="00243800"/>
    <w:rsid w:val="002850EC"/>
    <w:rsid w:val="002B54DE"/>
    <w:rsid w:val="002D6AAB"/>
    <w:rsid w:val="00340215"/>
    <w:rsid w:val="003D629C"/>
    <w:rsid w:val="003E022E"/>
    <w:rsid w:val="00423FE1"/>
    <w:rsid w:val="00425232"/>
    <w:rsid w:val="00444F8C"/>
    <w:rsid w:val="004A0FBA"/>
    <w:rsid w:val="004C29AB"/>
    <w:rsid w:val="004D6E89"/>
    <w:rsid w:val="005249F6"/>
    <w:rsid w:val="005347A0"/>
    <w:rsid w:val="005D1C6F"/>
    <w:rsid w:val="00601E79"/>
    <w:rsid w:val="00625819"/>
    <w:rsid w:val="00666C01"/>
    <w:rsid w:val="00695FE5"/>
    <w:rsid w:val="006C4B29"/>
    <w:rsid w:val="006D7B32"/>
    <w:rsid w:val="00725EB8"/>
    <w:rsid w:val="00736802"/>
    <w:rsid w:val="00752D5E"/>
    <w:rsid w:val="007E1BB1"/>
    <w:rsid w:val="00857927"/>
    <w:rsid w:val="008B20F3"/>
    <w:rsid w:val="008B3469"/>
    <w:rsid w:val="008E4F05"/>
    <w:rsid w:val="008F2694"/>
    <w:rsid w:val="009504D5"/>
    <w:rsid w:val="00A62125"/>
    <w:rsid w:val="00A66AC9"/>
    <w:rsid w:val="00A978C0"/>
    <w:rsid w:val="00AA3B93"/>
    <w:rsid w:val="00AE3672"/>
    <w:rsid w:val="00AF1F2C"/>
    <w:rsid w:val="00AF2D79"/>
    <w:rsid w:val="00AF5FD3"/>
    <w:rsid w:val="00B71F51"/>
    <w:rsid w:val="00C124E3"/>
    <w:rsid w:val="00C2703C"/>
    <w:rsid w:val="00C52A45"/>
    <w:rsid w:val="00C846FC"/>
    <w:rsid w:val="00D7510D"/>
    <w:rsid w:val="00D7512C"/>
    <w:rsid w:val="00DC0D86"/>
    <w:rsid w:val="00E32F01"/>
    <w:rsid w:val="00E92B40"/>
    <w:rsid w:val="00EA427C"/>
    <w:rsid w:val="00EF11FB"/>
    <w:rsid w:val="00EF24AE"/>
    <w:rsid w:val="00EF2DF5"/>
    <w:rsid w:val="00EF350F"/>
    <w:rsid w:val="00F11A75"/>
    <w:rsid w:val="00F13FCC"/>
    <w:rsid w:val="00F314B9"/>
    <w:rsid w:val="00F56CC9"/>
    <w:rsid w:val="00F82513"/>
    <w:rsid w:val="00FA4ADD"/>
    <w:rsid w:val="00FA7546"/>
    <w:rsid w:val="00FE12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23FE1"/>
    <w:rPr>
      <w:color w:val="0000FF" w:themeColor="hyperlink"/>
      <w:u w:val="single"/>
    </w:rPr>
  </w:style>
  <w:style w:type="character" w:styleId="Zdraznnjemn">
    <w:name w:val="Subtle Emphasis"/>
    <w:basedOn w:val="Standardnpsmoodstavce"/>
    <w:uiPriority w:val="19"/>
    <w:qFormat/>
    <w:rsid w:val="0073680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23FE1"/>
    <w:rPr>
      <w:color w:val="0000FF" w:themeColor="hyperlink"/>
      <w:u w:val="single"/>
    </w:rPr>
  </w:style>
  <w:style w:type="character" w:styleId="Zdraznnjemn">
    <w:name w:val="Subtle Emphasis"/>
    <w:basedOn w:val="Standardnpsmoodstavce"/>
    <w:uiPriority w:val="19"/>
    <w:qFormat/>
    <w:rsid w:val="0073680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9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850</Words>
  <Characters>5017</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SEVCIKOVAM</dc:creator>
  <cp:lastModifiedBy>SEVCIKOVAM</cp:lastModifiedBy>
  <cp:revision>3</cp:revision>
  <cp:lastPrinted>2015-02-25T11:21:00Z</cp:lastPrinted>
  <dcterms:created xsi:type="dcterms:W3CDTF">2015-05-05T13:56:00Z</dcterms:created>
  <dcterms:modified xsi:type="dcterms:W3CDTF">2015-05-05T14:04:00Z</dcterms:modified>
</cp:coreProperties>
</file>